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16" w:rsidRDefault="00587416" w:rsidP="001D392F">
      <w:pPr>
        <w:rPr>
          <w:rFonts w:ascii="Trebuchet MS" w:hAnsi="Trebuchet MS"/>
          <w:b/>
        </w:rPr>
      </w:pPr>
    </w:p>
    <w:p w:rsidR="00587416" w:rsidRDefault="001524FE" w:rsidP="001D392F">
      <w:pPr>
        <w:rPr>
          <w:rFonts w:ascii="Trebuchet MS" w:hAnsi="Trebuchet MS"/>
          <w:b/>
        </w:rPr>
      </w:pPr>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65pt;height:88.85pt">
            <v:imagedata r:id="rId8" o:title="BPT Logo (2)"/>
          </v:shape>
        </w:pict>
      </w:r>
    </w:p>
    <w:p w:rsidR="00656B40" w:rsidRDefault="001D392F" w:rsidP="001D392F">
      <w:pPr>
        <w:rPr>
          <w:rFonts w:ascii="Trebuchet MS" w:hAnsi="Trebuchet MS"/>
          <w:b/>
        </w:rPr>
      </w:pPr>
      <w:r w:rsidRPr="001D392F">
        <w:rPr>
          <w:rFonts w:ascii="Trebuchet MS" w:hAnsi="Trebuchet MS"/>
          <w:b/>
        </w:rPr>
        <w:t>Appeal Reference: APP/F0114/F/21/3287443</w:t>
      </w:r>
    </w:p>
    <w:p w:rsidR="001D392F" w:rsidRDefault="001D392F" w:rsidP="001D392F">
      <w:pPr>
        <w:rPr>
          <w:rFonts w:ascii="Trebuchet MS" w:hAnsi="Trebuchet MS"/>
          <w:b/>
        </w:rPr>
      </w:pPr>
      <w:r>
        <w:rPr>
          <w:rFonts w:ascii="Trebuchet MS" w:hAnsi="Trebuchet MS"/>
          <w:b/>
        </w:rPr>
        <w:t xml:space="preserve">Application </w:t>
      </w:r>
      <w:r w:rsidRPr="001D392F">
        <w:rPr>
          <w:rFonts w:ascii="Trebuchet MS" w:hAnsi="Trebuchet MS"/>
          <w:b/>
        </w:rPr>
        <w:t>14/04369/LBA</w:t>
      </w:r>
    </w:p>
    <w:p w:rsidR="001D392F" w:rsidRDefault="00512B71" w:rsidP="001D392F">
      <w:pPr>
        <w:rPr>
          <w:rFonts w:ascii="Trebuchet MS" w:hAnsi="Trebuchet MS"/>
          <w:b/>
        </w:rPr>
      </w:pPr>
      <w:r>
        <w:rPr>
          <w:rFonts w:ascii="Trebuchet MS" w:hAnsi="Trebuchet MS"/>
          <w:b/>
        </w:rPr>
        <w:t>10-16</w:t>
      </w:r>
      <w:r w:rsidR="001D392F">
        <w:rPr>
          <w:rFonts w:ascii="Trebuchet MS" w:hAnsi="Trebuchet MS"/>
          <w:b/>
        </w:rPr>
        <w:t xml:space="preserve"> Hampton Row, Bath, BA2 6BJ</w:t>
      </w:r>
    </w:p>
    <w:p w:rsidR="001D392F" w:rsidRDefault="001D392F" w:rsidP="001D392F">
      <w:pPr>
        <w:rPr>
          <w:rFonts w:ascii="Trebuchet MS" w:hAnsi="Trebuchet MS"/>
          <w:b/>
        </w:rPr>
      </w:pPr>
    </w:p>
    <w:p w:rsidR="00C10676" w:rsidRDefault="00C10676" w:rsidP="00B966C2">
      <w:pPr>
        <w:spacing w:line="360" w:lineRule="auto"/>
        <w:rPr>
          <w:rFonts w:ascii="Trebuchet MS" w:hAnsi="Trebuchet MS"/>
          <w:b/>
        </w:rPr>
      </w:pPr>
      <w:r w:rsidRPr="00C10676">
        <w:rPr>
          <w:rFonts w:ascii="Trebuchet MS" w:hAnsi="Trebuchet MS"/>
          <w:b/>
        </w:rPr>
        <w:t xml:space="preserve">The Bath Preservation Trust </w:t>
      </w:r>
      <w:r>
        <w:rPr>
          <w:rFonts w:ascii="Trebuchet MS" w:hAnsi="Trebuchet MS"/>
          <w:b/>
        </w:rPr>
        <w:t xml:space="preserve">(BPT) </w:t>
      </w:r>
      <w:r w:rsidRPr="00C10676">
        <w:rPr>
          <w:rFonts w:ascii="Trebuchet MS" w:hAnsi="Trebuchet MS"/>
          <w:b/>
        </w:rPr>
        <w:t xml:space="preserve">calls for this appeal to be dismissed on the following grounds. </w:t>
      </w:r>
    </w:p>
    <w:p w:rsidR="00C10676" w:rsidRDefault="00C10676" w:rsidP="00B966C2">
      <w:pPr>
        <w:spacing w:line="360" w:lineRule="auto"/>
        <w:rPr>
          <w:rFonts w:ascii="Trebuchet MS" w:hAnsi="Trebuchet MS"/>
          <w:b/>
        </w:rPr>
      </w:pPr>
      <w:r>
        <w:rPr>
          <w:rFonts w:ascii="Trebuchet MS" w:hAnsi="Trebuchet MS"/>
          <w:b/>
        </w:rPr>
        <w:t>We maintain that th</w:t>
      </w:r>
      <w:r w:rsidR="00624F65">
        <w:rPr>
          <w:rFonts w:ascii="Trebuchet MS" w:hAnsi="Trebuchet MS"/>
          <w:b/>
        </w:rPr>
        <w:t>is development constitutes UNJUSTIFIED</w:t>
      </w:r>
      <w:r>
        <w:rPr>
          <w:rFonts w:ascii="Trebuchet MS" w:hAnsi="Trebuchet MS"/>
          <w:b/>
        </w:rPr>
        <w:t xml:space="preserve"> harm to the special architectural and historic interest of a listed building, harm to the grouped setting of the Grade II terrace, </w:t>
      </w:r>
      <w:r w:rsidR="00624F65">
        <w:rPr>
          <w:rFonts w:ascii="Trebuchet MS" w:hAnsi="Trebuchet MS"/>
          <w:b/>
        </w:rPr>
        <w:t>and has an</w:t>
      </w:r>
      <w:r>
        <w:rPr>
          <w:rFonts w:ascii="Trebuchet MS" w:hAnsi="Trebuchet MS"/>
          <w:b/>
        </w:rPr>
        <w:t xml:space="preserve"> adverse impact on the appearance and character of the Bath conservation area</w:t>
      </w:r>
      <w:r w:rsidR="00624F65">
        <w:rPr>
          <w:rFonts w:ascii="Trebuchet MS" w:hAnsi="Trebuchet MS"/>
          <w:b/>
        </w:rPr>
        <w:t xml:space="preserve"> and</w:t>
      </w:r>
      <w:r>
        <w:rPr>
          <w:rFonts w:ascii="Trebuchet MS" w:hAnsi="Trebuchet MS"/>
          <w:b/>
        </w:rPr>
        <w:t xml:space="preserve"> the special qualities of the World Heritage Site. This development appears to be in breach of Condition 2 of </w:t>
      </w:r>
      <w:r w:rsidRPr="00C10676">
        <w:rPr>
          <w:rFonts w:ascii="Trebuchet MS" w:hAnsi="Trebuchet MS"/>
          <w:b/>
        </w:rPr>
        <w:t>application 14/04369/LBA</w:t>
      </w:r>
      <w:r>
        <w:rPr>
          <w:rFonts w:ascii="Trebuchet MS" w:hAnsi="Trebuchet MS"/>
          <w:b/>
        </w:rPr>
        <w:t xml:space="preserve">. </w:t>
      </w:r>
    </w:p>
    <w:p w:rsidR="002B7A34" w:rsidRDefault="009C619E" w:rsidP="00B966C2">
      <w:pPr>
        <w:spacing w:line="360" w:lineRule="auto"/>
        <w:rPr>
          <w:rFonts w:ascii="Trebuchet MS" w:hAnsi="Trebuchet MS"/>
        </w:rPr>
      </w:pPr>
      <w:r>
        <w:rPr>
          <w:rFonts w:ascii="Trebuchet MS" w:hAnsi="Trebuchet MS"/>
        </w:rPr>
        <w:t>B</w:t>
      </w:r>
      <w:r w:rsidR="00957C28">
        <w:rPr>
          <w:rFonts w:ascii="Trebuchet MS" w:hAnsi="Trebuchet MS"/>
        </w:rPr>
        <w:t>P</w:t>
      </w:r>
      <w:r>
        <w:rPr>
          <w:rFonts w:ascii="Trebuchet MS" w:hAnsi="Trebuchet MS"/>
        </w:rPr>
        <w:t xml:space="preserve">T </w:t>
      </w:r>
      <w:r w:rsidR="002B7A34">
        <w:rPr>
          <w:rFonts w:ascii="Trebuchet MS" w:hAnsi="Trebuchet MS"/>
        </w:rPr>
        <w:t xml:space="preserve">originally welcomed the opportunity for the appropriate development of the site to secure the repair and long-term survival of the Grade II ‘at risk’ buildings at Hampton Row. However, we had concerns about the proposed design </w:t>
      </w:r>
      <w:r w:rsidR="00624F65">
        <w:rPr>
          <w:rFonts w:ascii="Trebuchet MS" w:hAnsi="Trebuchet MS"/>
        </w:rPr>
        <w:t>process</w:t>
      </w:r>
      <w:r w:rsidR="002B7A34">
        <w:rPr>
          <w:rFonts w:ascii="Trebuchet MS" w:hAnsi="Trebuchet MS"/>
        </w:rPr>
        <w:t xml:space="preserve">, and felt a more suitable approach would be to reinstate the historic plan form and layout of the dwellings, replicate missing historic detailing, and retain the surviving historic building fabric </w:t>
      </w:r>
      <w:r w:rsidR="002B7A34" w:rsidRPr="00736C5D">
        <w:rPr>
          <w:rFonts w:ascii="Trebuchet MS" w:hAnsi="Trebuchet MS"/>
          <w:i/>
        </w:rPr>
        <w:t xml:space="preserve">“in the interest of preserving and enhancing the architectural interest and aesthetic value of the listed building”. </w:t>
      </w:r>
      <w:r w:rsidR="002B7A34">
        <w:rPr>
          <w:rFonts w:ascii="Trebuchet MS" w:hAnsi="Trebuchet MS"/>
        </w:rPr>
        <w:t>We therefore</w:t>
      </w:r>
      <w:r>
        <w:rPr>
          <w:rFonts w:ascii="Trebuchet MS" w:hAnsi="Trebuchet MS"/>
        </w:rPr>
        <w:t xml:space="preserve"> </w:t>
      </w:r>
      <w:r w:rsidR="002B7A34">
        <w:rPr>
          <w:rFonts w:ascii="Trebuchet MS" w:hAnsi="Trebuchet MS"/>
        </w:rPr>
        <w:t xml:space="preserve">recommended that application </w:t>
      </w:r>
      <w:r w:rsidR="002B7A34" w:rsidRPr="002B7A34">
        <w:rPr>
          <w:rFonts w:ascii="Trebuchet MS" w:hAnsi="Trebuchet MS"/>
        </w:rPr>
        <w:t>14/04369/LBA</w:t>
      </w:r>
      <w:r w:rsidR="002B7A34">
        <w:rPr>
          <w:rFonts w:ascii="Trebuchet MS" w:hAnsi="Trebuchet MS"/>
        </w:rPr>
        <w:t xml:space="preserve"> be refused, on the grounds that </w:t>
      </w:r>
      <w:r w:rsidR="002B7A34" w:rsidRPr="00736C5D">
        <w:rPr>
          <w:rFonts w:ascii="Trebuchet MS" w:hAnsi="Trebuchet MS"/>
          <w:i/>
        </w:rPr>
        <w:t xml:space="preserve">“this application fails to present sufficient supporting information and a design approach that respects the historic character of Hampton Row.” </w:t>
      </w:r>
    </w:p>
    <w:p w:rsidR="009C619E" w:rsidRDefault="002B7A34" w:rsidP="00B966C2">
      <w:pPr>
        <w:spacing w:line="360" w:lineRule="auto"/>
        <w:rPr>
          <w:rFonts w:ascii="Trebuchet MS" w:hAnsi="Trebuchet MS"/>
        </w:rPr>
      </w:pPr>
      <w:r>
        <w:rPr>
          <w:rFonts w:ascii="Trebuchet MS" w:hAnsi="Trebuchet MS"/>
        </w:rPr>
        <w:t>O</w:t>
      </w:r>
      <w:r w:rsidR="009C619E">
        <w:rPr>
          <w:rFonts w:ascii="Trebuchet MS" w:hAnsi="Trebuchet MS"/>
        </w:rPr>
        <w:t xml:space="preserve">ur objection to application </w:t>
      </w:r>
      <w:r w:rsidR="009C619E" w:rsidRPr="009C619E">
        <w:rPr>
          <w:rFonts w:ascii="Trebuchet MS" w:hAnsi="Trebuchet MS"/>
        </w:rPr>
        <w:t>14/04369/LBA</w:t>
      </w:r>
      <w:r w:rsidR="009C619E">
        <w:rPr>
          <w:rFonts w:ascii="Trebuchet MS" w:hAnsi="Trebuchet MS"/>
        </w:rPr>
        <w:t xml:space="preserve"> can be found </w:t>
      </w:r>
      <w:r>
        <w:rPr>
          <w:rFonts w:ascii="Trebuchet MS" w:hAnsi="Trebuchet MS"/>
        </w:rPr>
        <w:t>in full under</w:t>
      </w:r>
      <w:r w:rsidR="009C619E">
        <w:rPr>
          <w:rFonts w:ascii="Trebuchet MS" w:hAnsi="Trebuchet MS"/>
        </w:rPr>
        <w:t xml:space="preserve"> Appendix 1. </w:t>
      </w:r>
    </w:p>
    <w:p w:rsidR="001D392F" w:rsidRDefault="001D392F" w:rsidP="00B966C2">
      <w:pPr>
        <w:spacing w:line="360" w:lineRule="auto"/>
        <w:rPr>
          <w:rFonts w:ascii="Trebuchet MS" w:hAnsi="Trebuchet MS"/>
        </w:rPr>
      </w:pPr>
      <w:r>
        <w:rPr>
          <w:rFonts w:ascii="Trebuchet MS" w:hAnsi="Trebuchet MS"/>
        </w:rPr>
        <w:t xml:space="preserve">The two matters to be considered in relation to this appeal are: a) the adverse impact that this scheme has already had on the special interest of multiple heritage assets which has not been appropriately addressed or outweighed by proposed public benefit; and b) the </w:t>
      </w:r>
      <w:r w:rsidR="00B966C2">
        <w:rPr>
          <w:rFonts w:ascii="Trebuchet MS" w:hAnsi="Trebuchet MS"/>
        </w:rPr>
        <w:t xml:space="preserve">asserted breach of Condition 2 that </w:t>
      </w:r>
      <w:r w:rsidR="00B966C2" w:rsidRPr="00736C5D">
        <w:rPr>
          <w:rFonts w:ascii="Trebuchet MS" w:hAnsi="Trebuchet MS"/>
          <w:i/>
        </w:rPr>
        <w:t>“No construction of external walls shall commence until samples of all external materials, including the front gardens paving stone, are submitted to and approved in writing by the local planning authority”</w:t>
      </w:r>
      <w:r w:rsidR="00B966C2">
        <w:rPr>
          <w:rFonts w:ascii="Trebuchet MS" w:hAnsi="Trebuchet MS"/>
        </w:rPr>
        <w:t xml:space="preserve"> secured </w:t>
      </w:r>
      <w:r w:rsidR="00B966C2">
        <w:rPr>
          <w:rFonts w:ascii="Trebuchet MS" w:hAnsi="Trebuchet MS"/>
        </w:rPr>
        <w:lastRenderedPageBreak/>
        <w:t xml:space="preserve">as part of application </w:t>
      </w:r>
      <w:r w:rsidR="00B966C2" w:rsidRPr="00B966C2">
        <w:rPr>
          <w:rFonts w:ascii="Trebuchet MS" w:hAnsi="Trebuchet MS"/>
        </w:rPr>
        <w:t>14/04369/LBA</w:t>
      </w:r>
      <w:r w:rsidR="00B966C2">
        <w:rPr>
          <w:rFonts w:ascii="Trebuchet MS" w:hAnsi="Trebuchet MS"/>
        </w:rPr>
        <w:t xml:space="preserve"> on 8</w:t>
      </w:r>
      <w:r w:rsidR="00B966C2" w:rsidRPr="00B966C2">
        <w:rPr>
          <w:rFonts w:ascii="Trebuchet MS" w:hAnsi="Trebuchet MS"/>
          <w:vertAlign w:val="superscript"/>
        </w:rPr>
        <w:t>th</w:t>
      </w:r>
      <w:r w:rsidR="00B966C2">
        <w:rPr>
          <w:rFonts w:ascii="Trebuchet MS" w:hAnsi="Trebuchet MS"/>
        </w:rPr>
        <w:t xml:space="preserve"> March 2016, and subsequently discharged by application </w:t>
      </w:r>
      <w:r w:rsidR="003F7120" w:rsidRPr="003F7120">
        <w:rPr>
          <w:rFonts w:ascii="Trebuchet MS" w:hAnsi="Trebuchet MS"/>
        </w:rPr>
        <w:t xml:space="preserve">18/04212/COND </w:t>
      </w:r>
      <w:r w:rsidR="00B966C2">
        <w:rPr>
          <w:rFonts w:ascii="Trebuchet MS" w:hAnsi="Trebuchet MS"/>
        </w:rPr>
        <w:t>on 20</w:t>
      </w:r>
      <w:r w:rsidR="00B966C2" w:rsidRPr="00B966C2">
        <w:rPr>
          <w:rFonts w:ascii="Trebuchet MS" w:hAnsi="Trebuchet MS"/>
          <w:vertAlign w:val="superscript"/>
        </w:rPr>
        <w:t>th</w:t>
      </w:r>
      <w:r w:rsidR="00B966C2">
        <w:rPr>
          <w:rFonts w:ascii="Trebuchet MS" w:hAnsi="Trebuchet MS"/>
        </w:rPr>
        <w:t xml:space="preserve"> March 2020. </w:t>
      </w:r>
    </w:p>
    <w:p w:rsidR="00F86AFD" w:rsidRPr="001D392F" w:rsidRDefault="00F86AFD" w:rsidP="00B966C2">
      <w:pPr>
        <w:spacing w:line="360" w:lineRule="auto"/>
        <w:rPr>
          <w:rFonts w:ascii="Trebuchet MS" w:hAnsi="Trebuchet MS"/>
        </w:rPr>
      </w:pPr>
    </w:p>
    <w:p w:rsidR="009C619E" w:rsidRPr="00957C28" w:rsidRDefault="009C619E" w:rsidP="00B966C2">
      <w:pPr>
        <w:spacing w:line="360" w:lineRule="auto"/>
        <w:rPr>
          <w:rFonts w:ascii="Trebuchet MS" w:hAnsi="Trebuchet MS"/>
          <w:b/>
          <w:u w:val="single"/>
        </w:rPr>
      </w:pPr>
      <w:r w:rsidRPr="00957C28">
        <w:rPr>
          <w:rFonts w:ascii="Trebuchet MS" w:hAnsi="Trebuchet MS"/>
          <w:b/>
          <w:u w:val="single"/>
        </w:rPr>
        <w:t>Adverse Impact on the Special Interest of the Heritage Asset</w:t>
      </w:r>
    </w:p>
    <w:p w:rsidR="001D392F" w:rsidRPr="0054538A" w:rsidRDefault="0054538A" w:rsidP="00B966C2">
      <w:pPr>
        <w:spacing w:line="360" w:lineRule="auto"/>
        <w:rPr>
          <w:rFonts w:ascii="Trebuchet MS" w:hAnsi="Trebuchet MS"/>
        </w:rPr>
      </w:pPr>
      <w:r w:rsidRPr="0054538A">
        <w:rPr>
          <w:rFonts w:ascii="Trebuchet MS" w:hAnsi="Trebuchet MS"/>
        </w:rPr>
        <w:t>This appeal looks at works to the rear of a Grade II listed buildi</w:t>
      </w:r>
      <w:r w:rsidR="00512B71">
        <w:rPr>
          <w:rFonts w:ascii="Trebuchet MS" w:hAnsi="Trebuchet MS"/>
        </w:rPr>
        <w:t xml:space="preserve">ng at </w:t>
      </w:r>
      <w:r w:rsidR="009445C4">
        <w:rPr>
          <w:rFonts w:ascii="Trebuchet MS" w:hAnsi="Trebuchet MS"/>
        </w:rPr>
        <w:t>11-14</w:t>
      </w:r>
      <w:r w:rsidRPr="0054538A">
        <w:rPr>
          <w:rFonts w:ascii="Trebuchet MS" w:hAnsi="Trebuchet MS"/>
        </w:rPr>
        <w:t xml:space="preserve"> Hampton Row. However, the resulting harm must be considered against a range of heritage assets, including the following: </w:t>
      </w:r>
    </w:p>
    <w:p w:rsidR="00BF7C34" w:rsidRPr="00F86AFD" w:rsidRDefault="00F86AFD" w:rsidP="00BF7C34">
      <w:pPr>
        <w:pStyle w:val="ListParagraph"/>
        <w:numPr>
          <w:ilvl w:val="0"/>
          <w:numId w:val="1"/>
        </w:numPr>
        <w:spacing w:line="360" w:lineRule="auto"/>
        <w:rPr>
          <w:rFonts w:ascii="Trebuchet MS" w:hAnsi="Trebuchet MS"/>
        </w:rPr>
      </w:pPr>
      <w:r w:rsidRPr="0054538A">
        <w:rPr>
          <w:rFonts w:ascii="Trebuchet MS" w:hAnsi="Trebuchet MS"/>
        </w:rPr>
        <w:t>The listed buildings at 9-</w:t>
      </w:r>
      <w:r w:rsidRPr="00F86AFD">
        <w:rPr>
          <w:rFonts w:ascii="Trebuchet MS" w:hAnsi="Trebuchet MS"/>
        </w:rPr>
        <w:t>15 Hampton Row, jointly Grade II listed.</w:t>
      </w:r>
    </w:p>
    <w:p w:rsidR="00F86AFD" w:rsidRPr="00F86AFD" w:rsidRDefault="00F86AFD" w:rsidP="00BF7C34">
      <w:pPr>
        <w:pStyle w:val="ListParagraph"/>
        <w:numPr>
          <w:ilvl w:val="0"/>
          <w:numId w:val="1"/>
        </w:numPr>
        <w:spacing w:line="360" w:lineRule="auto"/>
        <w:rPr>
          <w:rFonts w:ascii="Trebuchet MS" w:hAnsi="Trebuchet MS"/>
        </w:rPr>
      </w:pPr>
      <w:r w:rsidRPr="00F86AFD">
        <w:rPr>
          <w:rFonts w:ascii="Trebuchet MS" w:hAnsi="Trebuchet MS"/>
        </w:rPr>
        <w:t xml:space="preserve">The wider grouped setting and significance of the Grade II listed terrace at Hampton Row, including 1-2 Hampton Row and 3-8 Hampton Row. </w:t>
      </w:r>
    </w:p>
    <w:p w:rsidR="00F86AFD" w:rsidRPr="00F86AFD" w:rsidRDefault="00F86AFD" w:rsidP="00BF7C34">
      <w:pPr>
        <w:pStyle w:val="ListParagraph"/>
        <w:numPr>
          <w:ilvl w:val="0"/>
          <w:numId w:val="1"/>
        </w:numPr>
        <w:spacing w:line="360" w:lineRule="auto"/>
        <w:rPr>
          <w:rFonts w:ascii="Trebuchet MS" w:hAnsi="Trebuchet MS"/>
        </w:rPr>
      </w:pPr>
      <w:r w:rsidRPr="00F86AFD">
        <w:rPr>
          <w:rFonts w:ascii="Trebuchet MS" w:hAnsi="Trebuchet MS"/>
        </w:rPr>
        <w:t>The Bath conservation area.</w:t>
      </w:r>
    </w:p>
    <w:p w:rsidR="00F86AFD" w:rsidRDefault="00F86AFD" w:rsidP="00BF7C34">
      <w:pPr>
        <w:pStyle w:val="ListParagraph"/>
        <w:numPr>
          <w:ilvl w:val="0"/>
          <w:numId w:val="1"/>
        </w:numPr>
        <w:spacing w:line="360" w:lineRule="auto"/>
        <w:rPr>
          <w:rFonts w:ascii="Trebuchet MS" w:hAnsi="Trebuchet MS"/>
        </w:rPr>
      </w:pPr>
      <w:r w:rsidRPr="00F86AFD">
        <w:rPr>
          <w:rFonts w:ascii="Trebuchet MS" w:hAnsi="Trebuchet MS"/>
        </w:rPr>
        <w:t xml:space="preserve">The Outstanding Universal Value of the World Heritage Site. </w:t>
      </w:r>
    </w:p>
    <w:p w:rsidR="00512B71" w:rsidRPr="004F3A9A" w:rsidRDefault="005967E0" w:rsidP="00596C1C">
      <w:pPr>
        <w:spacing w:line="360" w:lineRule="auto"/>
        <w:rPr>
          <w:rFonts w:ascii="Trebuchet MS" w:hAnsi="Trebuchet MS"/>
        </w:rPr>
      </w:pPr>
      <w:r w:rsidRPr="006F77E2">
        <w:rPr>
          <w:rFonts w:ascii="Trebuchet MS" w:hAnsi="Trebuchet MS"/>
        </w:rPr>
        <w:t xml:space="preserve">The use of reconstituted stone is materially and visually inconsistent with the appearance and special architectural and historic character of the listed building. BPT’s original objection (see Appendix 1) </w:t>
      </w:r>
      <w:r w:rsidR="00DE0053" w:rsidRPr="006F77E2">
        <w:rPr>
          <w:rFonts w:ascii="Trebuchet MS" w:hAnsi="Trebuchet MS"/>
        </w:rPr>
        <w:t xml:space="preserve">stated that </w:t>
      </w:r>
      <w:r w:rsidR="00DE0053" w:rsidRPr="006F77E2">
        <w:rPr>
          <w:rFonts w:ascii="Trebuchet MS" w:hAnsi="Trebuchet MS"/>
          <w:i/>
        </w:rPr>
        <w:t xml:space="preserve">“we welcome redevelopment </w:t>
      </w:r>
      <w:r w:rsidR="00DE0053" w:rsidRPr="006F77E2">
        <w:rPr>
          <w:rFonts w:ascii="Trebuchet MS" w:hAnsi="Trebuchet MS"/>
          <w:i/>
          <w:u w:val="single"/>
        </w:rPr>
        <w:t>which retains the historic facades</w:t>
      </w:r>
      <w:r w:rsidR="00DE0053" w:rsidRPr="006F77E2">
        <w:rPr>
          <w:rFonts w:ascii="Trebuchet MS" w:hAnsi="Trebuchet MS"/>
          <w:i/>
        </w:rPr>
        <w:t xml:space="preserve"> (our emphasis) and window arrangement whilst providing contemporary living accommodation within a rebuilt terrace.” </w:t>
      </w:r>
      <w:r w:rsidR="00DE0053" w:rsidRPr="006F77E2">
        <w:rPr>
          <w:rFonts w:ascii="Trebuchet MS" w:hAnsi="Trebuchet MS"/>
        </w:rPr>
        <w:t xml:space="preserve">The design approach was expected to </w:t>
      </w:r>
      <w:r w:rsidR="00DE0053" w:rsidRPr="006F77E2">
        <w:rPr>
          <w:rFonts w:ascii="Trebuchet MS" w:hAnsi="Trebuchet MS"/>
          <w:i/>
        </w:rPr>
        <w:t>“respect[s] the historic character of Hampton Row.”</w:t>
      </w:r>
      <w:r w:rsidR="007A47E2" w:rsidRPr="006F77E2">
        <w:rPr>
          <w:rFonts w:ascii="Trebuchet MS" w:hAnsi="Trebuchet MS"/>
          <w:i/>
        </w:rPr>
        <w:t xml:space="preserve"> </w:t>
      </w:r>
      <w:r w:rsidR="007A47E2" w:rsidRPr="006F77E2">
        <w:rPr>
          <w:rFonts w:ascii="Trebuchet MS" w:hAnsi="Trebuchet MS"/>
        </w:rPr>
        <w:t>Whilst architecturally</w:t>
      </w:r>
      <w:r w:rsidR="007A47E2">
        <w:rPr>
          <w:rFonts w:ascii="Trebuchet MS" w:hAnsi="Trebuchet MS"/>
        </w:rPr>
        <w:t xml:space="preserve"> modest, the heritage asset retains significance through its use of traditional material coherent with Bath’s rare homogeneity. Bath stone is distinctive in appearance with a harmonious variance in finish, muted colour palette, and weathering. Any addition to the heritage asset would need to complement the prevalent material, appearance, and relatively fine ashlar finish of the terrace rear. In this context, the use of reconstituted stone to reinstate rear elevations across a number of terraced dwellings is significantly out of keeping with its setting to the detriment of the appearance of the listed building, and is visually</w:t>
      </w:r>
      <w:r w:rsidR="0024400F">
        <w:rPr>
          <w:rFonts w:ascii="Trebuchet MS" w:hAnsi="Trebuchet MS"/>
        </w:rPr>
        <w:t xml:space="preserve"> and technically</w:t>
      </w:r>
      <w:r w:rsidR="007A47E2">
        <w:rPr>
          <w:rFonts w:ascii="Trebuchet MS" w:hAnsi="Trebuchet MS"/>
        </w:rPr>
        <w:t xml:space="preserve"> incompatible with the building’s historic stonework. </w:t>
      </w:r>
    </w:p>
    <w:p w:rsidR="006C387C" w:rsidRPr="00596C1C" w:rsidRDefault="009917A9" w:rsidP="00E414EC">
      <w:pPr>
        <w:spacing w:line="360" w:lineRule="auto"/>
        <w:rPr>
          <w:rFonts w:ascii="Trebuchet MS" w:hAnsi="Trebuchet MS"/>
        </w:rPr>
      </w:pPr>
      <w:r w:rsidRPr="007A47E2">
        <w:rPr>
          <w:rFonts w:ascii="Trebuchet MS" w:hAnsi="Trebuchet MS"/>
        </w:rPr>
        <w:t>P</w:t>
      </w:r>
      <w:r w:rsidR="00DE0053" w:rsidRPr="007A47E2">
        <w:rPr>
          <w:rFonts w:ascii="Trebuchet MS" w:hAnsi="Trebuchet MS"/>
        </w:rPr>
        <w:t xml:space="preserve">aragraph 202 of the National Planning Policy Framework (NPPF) states that </w:t>
      </w:r>
      <w:r w:rsidR="00DE0053" w:rsidRPr="007A47E2">
        <w:rPr>
          <w:rFonts w:ascii="Trebuchet MS" w:hAnsi="Trebuchet MS"/>
          <w:i/>
        </w:rPr>
        <w:t>“where a development proposal will lead to less than substantial harm to the significance of a designated heritage asset, this harm should be weighed against the public benefits of the proposal including, where appropriate, securing its optimum viable use.”</w:t>
      </w:r>
      <w:r w:rsidR="00DE0053" w:rsidRPr="007A47E2">
        <w:rPr>
          <w:rFonts w:ascii="Trebuchet MS" w:hAnsi="Trebuchet MS"/>
        </w:rPr>
        <w:t xml:space="preserve"> Application 14/04369/LBA was originally granted consent to address </w:t>
      </w:r>
      <w:r w:rsidR="00DE0053" w:rsidRPr="007A47E2">
        <w:rPr>
          <w:rFonts w:ascii="Trebuchet MS" w:hAnsi="Trebuchet MS"/>
          <w:i/>
        </w:rPr>
        <w:t>“the continuing deterioration and threat to the survival of the building”</w:t>
      </w:r>
      <w:r w:rsidR="00DE0053" w:rsidRPr="007A47E2">
        <w:rPr>
          <w:rFonts w:ascii="Trebuchet MS" w:hAnsi="Trebuchet MS"/>
        </w:rPr>
        <w:t xml:space="preserve"> (Delegated Report) and the harm to the setting of the terrace and wider conservation area due to the terrace’s derelict appearance</w:t>
      </w:r>
      <w:r w:rsidR="00EC1108" w:rsidRPr="007A47E2">
        <w:rPr>
          <w:rFonts w:ascii="Trebuchet MS" w:hAnsi="Trebuchet MS"/>
        </w:rPr>
        <w:t>, with the associated public benefit of bringing the terrace back into residential use</w:t>
      </w:r>
      <w:r w:rsidR="00DE0053" w:rsidRPr="007A47E2">
        <w:rPr>
          <w:rFonts w:ascii="Trebuchet MS" w:hAnsi="Trebuchet MS"/>
        </w:rPr>
        <w:t>.</w:t>
      </w:r>
      <w:r w:rsidR="007A47E2" w:rsidRPr="007A47E2">
        <w:rPr>
          <w:rFonts w:ascii="Trebuchet MS" w:hAnsi="Trebuchet MS"/>
        </w:rPr>
        <w:t xml:space="preserve"> There is no</w:t>
      </w:r>
      <w:r w:rsidR="007A47E2">
        <w:rPr>
          <w:rFonts w:ascii="Trebuchet MS" w:hAnsi="Trebuchet MS"/>
        </w:rPr>
        <w:t xml:space="preserve"> </w:t>
      </w:r>
      <w:r w:rsidR="007A47E2">
        <w:rPr>
          <w:rFonts w:ascii="Trebuchet MS" w:hAnsi="Trebuchet MS"/>
        </w:rPr>
        <w:lastRenderedPageBreak/>
        <w:t xml:space="preserve">indication that the use of reconstituted stone is required to achieve this optimum viable use, and the same level of public benefit could be secured whilst utilising a traditional finish appropriate to the character of a listed building. </w:t>
      </w:r>
    </w:p>
    <w:p w:rsidR="00F26B6D" w:rsidRDefault="009445C4" w:rsidP="00E414EC">
      <w:pPr>
        <w:spacing w:line="360" w:lineRule="auto"/>
        <w:rPr>
          <w:rFonts w:ascii="Trebuchet MS" w:hAnsi="Trebuchet MS"/>
        </w:rPr>
      </w:pPr>
      <w:r>
        <w:rPr>
          <w:rFonts w:ascii="Trebuchet MS" w:hAnsi="Trebuchet MS"/>
        </w:rPr>
        <w:t>11</w:t>
      </w:r>
      <w:r w:rsidR="00F26B6D" w:rsidRPr="00876FA0">
        <w:rPr>
          <w:rFonts w:ascii="Trebuchet MS" w:hAnsi="Trebuchet MS"/>
        </w:rPr>
        <w:t xml:space="preserve">-14 Hampton Row form part of the wider Grade II terrace </w:t>
      </w:r>
      <w:r w:rsidR="006A669B" w:rsidRPr="00876FA0">
        <w:rPr>
          <w:rFonts w:ascii="Trebuchet MS" w:hAnsi="Trebuchet MS"/>
        </w:rPr>
        <w:t xml:space="preserve">of </w:t>
      </w:r>
      <w:r w:rsidR="008E1A47" w:rsidRPr="00876FA0">
        <w:rPr>
          <w:rFonts w:ascii="Trebuchet MS" w:hAnsi="Trebuchet MS"/>
        </w:rPr>
        <w:t>artisan’s</w:t>
      </w:r>
      <w:r w:rsidR="00F26B6D" w:rsidRPr="00876FA0">
        <w:rPr>
          <w:rFonts w:ascii="Trebuchet MS" w:hAnsi="Trebuchet MS"/>
        </w:rPr>
        <w:t xml:space="preserve"> cottages attributed to the early 19</w:t>
      </w:r>
      <w:r w:rsidR="00F26B6D" w:rsidRPr="00876FA0">
        <w:rPr>
          <w:rFonts w:ascii="Trebuchet MS" w:hAnsi="Trebuchet MS"/>
          <w:vertAlign w:val="superscript"/>
        </w:rPr>
        <w:t>th</w:t>
      </w:r>
      <w:r w:rsidR="00F26B6D" w:rsidRPr="00876FA0">
        <w:rPr>
          <w:rFonts w:ascii="Trebuchet MS" w:hAnsi="Trebuchet MS"/>
        </w:rPr>
        <w:t xml:space="preserve"> century. Greater significance can be attributed to the terrace’s principal two storey façade that characterises the streetscape of Hampton Row, along which there is some minor variance in detailing and roof profile. </w:t>
      </w:r>
      <w:r>
        <w:rPr>
          <w:rFonts w:ascii="Trebuchet MS" w:hAnsi="Trebuchet MS"/>
        </w:rPr>
        <w:t>In relation to 11</w:t>
      </w:r>
      <w:r w:rsidR="003C792B" w:rsidRPr="00876FA0">
        <w:rPr>
          <w:rFonts w:ascii="Trebuchet MS" w:hAnsi="Trebuchet MS"/>
        </w:rPr>
        <w:t xml:space="preserve">-14 Hampton Row’s deteriorated condition, the case officer concluded that </w:t>
      </w:r>
      <w:r w:rsidR="003C792B" w:rsidRPr="00876FA0">
        <w:rPr>
          <w:rFonts w:ascii="Trebuchet MS" w:hAnsi="Trebuchet MS"/>
          <w:i/>
        </w:rPr>
        <w:t xml:space="preserve">“at the rear, the elevation has been severely altered and is now of low significance” </w:t>
      </w:r>
      <w:r w:rsidR="003C792B" w:rsidRPr="00876FA0">
        <w:rPr>
          <w:rFonts w:ascii="Trebuchet MS" w:hAnsi="Trebuchet MS"/>
        </w:rPr>
        <w:t>(Delegated Report, application</w:t>
      </w:r>
      <w:r w:rsidR="003C792B">
        <w:rPr>
          <w:rFonts w:ascii="Trebuchet MS" w:hAnsi="Trebuchet MS"/>
        </w:rPr>
        <w:t xml:space="preserve"> </w:t>
      </w:r>
      <w:r w:rsidR="003C792B" w:rsidRPr="00876FA0">
        <w:rPr>
          <w:rFonts w:ascii="Trebuchet MS" w:hAnsi="Trebuchet MS"/>
        </w:rPr>
        <w:t xml:space="preserve">14/04369/LBA). </w:t>
      </w:r>
      <w:r w:rsidR="008E1A47" w:rsidRPr="00876FA0">
        <w:rPr>
          <w:rFonts w:ascii="Trebuchet MS" w:hAnsi="Trebuchet MS"/>
        </w:rPr>
        <w:t>However, the terrace’s rear elevation is visible from the river footpath along the southern edge of Kensingt</w:t>
      </w:r>
      <w:r w:rsidR="00876FA0" w:rsidRPr="00876FA0">
        <w:rPr>
          <w:rFonts w:ascii="Trebuchet MS" w:hAnsi="Trebuchet MS"/>
        </w:rPr>
        <w:t xml:space="preserve">on Meadows (see Appendix 2), and remains significant (albeit to a lesser degree) in the retention of historic form, material, and the interconnected relationship of dwellings along the terrace. </w:t>
      </w:r>
      <w:r w:rsidR="00F539EE">
        <w:rPr>
          <w:rFonts w:ascii="Trebuchet MS" w:hAnsi="Trebuchet MS"/>
        </w:rPr>
        <w:t>T</w:t>
      </w:r>
      <w:r w:rsidR="003C792B">
        <w:rPr>
          <w:rFonts w:ascii="Trebuchet MS" w:hAnsi="Trebuchet MS"/>
        </w:rPr>
        <w:t xml:space="preserve">his noted </w:t>
      </w:r>
      <w:r w:rsidR="00B51DE3">
        <w:rPr>
          <w:rFonts w:ascii="Trebuchet MS" w:hAnsi="Trebuchet MS"/>
        </w:rPr>
        <w:t xml:space="preserve">reduced significance </w:t>
      </w:r>
      <w:r w:rsidR="00B51DE3" w:rsidRPr="00B51DE3">
        <w:rPr>
          <w:rFonts w:ascii="Trebuchet MS" w:hAnsi="Trebuchet MS"/>
          <w:b/>
        </w:rPr>
        <w:t>does not override</w:t>
      </w:r>
      <w:r>
        <w:rPr>
          <w:rFonts w:ascii="Trebuchet MS" w:hAnsi="Trebuchet MS"/>
        </w:rPr>
        <w:t xml:space="preserve"> 11</w:t>
      </w:r>
      <w:r w:rsidR="00B51DE3">
        <w:rPr>
          <w:rFonts w:ascii="Trebuchet MS" w:hAnsi="Trebuchet MS"/>
        </w:rPr>
        <w:t>-14 Hampton Row’s participation in the grouped setting of the wider Grade II terrace</w:t>
      </w:r>
      <w:r w:rsidR="00F539EE">
        <w:rPr>
          <w:rFonts w:ascii="Trebuchet MS" w:hAnsi="Trebuchet MS"/>
        </w:rPr>
        <w:t xml:space="preserve"> and contribution </w:t>
      </w:r>
      <w:r w:rsidR="00F539EE" w:rsidRPr="00876FA0">
        <w:rPr>
          <w:rFonts w:ascii="Trebuchet MS" w:hAnsi="Trebuchet MS"/>
        </w:rPr>
        <w:t xml:space="preserve">to Bath’s </w:t>
      </w:r>
      <w:r w:rsidR="00F539EE">
        <w:rPr>
          <w:rFonts w:ascii="Trebuchet MS" w:hAnsi="Trebuchet MS"/>
        </w:rPr>
        <w:t>distinctive backland character</w:t>
      </w:r>
      <w:r w:rsidR="00B51DE3">
        <w:rPr>
          <w:rFonts w:ascii="Trebuchet MS" w:hAnsi="Trebuchet MS"/>
        </w:rPr>
        <w:t xml:space="preserve">, or the need for sensitive interventions to sustain </w:t>
      </w:r>
      <w:r w:rsidR="006F26A7">
        <w:rPr>
          <w:rFonts w:ascii="Trebuchet MS" w:hAnsi="Trebuchet MS"/>
        </w:rPr>
        <w:t xml:space="preserve">and enhance </w:t>
      </w:r>
      <w:r w:rsidR="00B51DE3">
        <w:rPr>
          <w:rFonts w:ascii="Trebuchet MS" w:hAnsi="Trebuchet MS"/>
        </w:rPr>
        <w:t>the special archi</w:t>
      </w:r>
      <w:r w:rsidR="006F26A7">
        <w:rPr>
          <w:rFonts w:ascii="Trebuchet MS" w:hAnsi="Trebuchet MS"/>
        </w:rPr>
        <w:t xml:space="preserve">tectural and historic interest of the heritage asset. </w:t>
      </w:r>
    </w:p>
    <w:p w:rsidR="00CA24E6" w:rsidRDefault="00412EC9" w:rsidP="00E414EC">
      <w:pPr>
        <w:spacing w:line="360" w:lineRule="auto"/>
        <w:rPr>
          <w:rFonts w:ascii="Trebuchet MS" w:hAnsi="Trebuchet MS"/>
        </w:rPr>
      </w:pPr>
      <w:r>
        <w:rPr>
          <w:rFonts w:ascii="Trebuchet MS" w:hAnsi="Trebuchet MS"/>
        </w:rPr>
        <w:t>The use of reconstituted stone across the rear elevations of this section of terrace therefore creates an unwelcome, bright contrast with the more muted, natural palette used along the terrace rear that can be seen from the river footpath and forms part of wider riverside views due to the terrace’s elevated position on the southern bank (see Appendix 2). A sharp distinction is drawn between the historic body of the terrace and the newer additions</w:t>
      </w:r>
      <w:r w:rsidR="0022544F">
        <w:rPr>
          <w:rFonts w:ascii="Trebuchet MS" w:hAnsi="Trebuchet MS"/>
        </w:rPr>
        <w:t xml:space="preserve">, resulting in the visual erosion of </w:t>
      </w:r>
      <w:r w:rsidR="0022544F" w:rsidRPr="0022544F">
        <w:rPr>
          <w:rFonts w:ascii="Trebuchet MS" w:hAnsi="Trebuchet MS"/>
        </w:rPr>
        <w:t>the</w:t>
      </w:r>
      <w:r w:rsidR="00CA24E6" w:rsidRPr="0022544F">
        <w:rPr>
          <w:rFonts w:ascii="Trebuchet MS" w:hAnsi="Trebuchet MS"/>
        </w:rPr>
        <w:t xml:space="preserve"> historic and aesthetic conne</w:t>
      </w:r>
      <w:r w:rsidR="009445C4">
        <w:rPr>
          <w:rFonts w:ascii="Trebuchet MS" w:hAnsi="Trebuchet MS"/>
        </w:rPr>
        <w:t>ction of 11</w:t>
      </w:r>
      <w:r w:rsidR="00CA24E6" w:rsidRPr="0022544F">
        <w:rPr>
          <w:rFonts w:ascii="Trebuchet MS" w:hAnsi="Trebuchet MS"/>
        </w:rPr>
        <w:t>-14</w:t>
      </w:r>
      <w:r w:rsidR="0022544F" w:rsidRPr="0022544F">
        <w:rPr>
          <w:rFonts w:ascii="Trebuchet MS" w:hAnsi="Trebuchet MS"/>
        </w:rPr>
        <w:t xml:space="preserve"> Hampton Row with its wider terraced setting and associated loss of significance. </w:t>
      </w:r>
    </w:p>
    <w:p w:rsidR="00B40FD4" w:rsidRPr="00B40FD4" w:rsidRDefault="00B40FD4" w:rsidP="00B966C2">
      <w:pPr>
        <w:spacing w:line="360" w:lineRule="auto"/>
        <w:rPr>
          <w:rFonts w:ascii="Trebuchet MS" w:hAnsi="Trebuchet MS"/>
        </w:rPr>
      </w:pPr>
      <w:r w:rsidRPr="00B40FD4">
        <w:rPr>
          <w:rFonts w:ascii="Trebuchet MS" w:hAnsi="Trebuchet MS"/>
        </w:rPr>
        <w:t xml:space="preserve">Furthermore, the use of reconstituted stone across a shared rear elevation constitutes the cumulatively significant introduction of an incongruous modern material that fails to preserve or enhance the appearance or character of the Bath conservation area. </w:t>
      </w:r>
      <w:r w:rsidRPr="00E414EC">
        <w:rPr>
          <w:rFonts w:ascii="Trebuchet MS" w:hAnsi="Trebuchet MS"/>
        </w:rPr>
        <w:t xml:space="preserve">The Bathwick Conservation Area Character Appraisal </w:t>
      </w:r>
      <w:r>
        <w:rPr>
          <w:rFonts w:ascii="Trebuchet MS" w:hAnsi="Trebuchet MS"/>
        </w:rPr>
        <w:t>(CACA) specifically identifies the use of reconstituted stone as a threa</w:t>
      </w:r>
      <w:r w:rsidRPr="00E414EC">
        <w:rPr>
          <w:rFonts w:ascii="Trebuchet MS" w:hAnsi="Trebuchet MS"/>
        </w:rPr>
        <w:t xml:space="preserve">t to the distinctive character and appearance of this character area within the wider conservation area: </w:t>
      </w:r>
      <w:r w:rsidRPr="00E414EC">
        <w:rPr>
          <w:rFonts w:ascii="Trebuchet MS" w:hAnsi="Trebuchet MS"/>
          <w:i/>
        </w:rPr>
        <w:t>“</w:t>
      </w:r>
      <w:r w:rsidRPr="00E414EC">
        <w:rPr>
          <w:rFonts w:ascii="Trebuchet MS" w:hAnsi="Trebuchet MS"/>
          <w:i/>
          <w:u w:val="single"/>
        </w:rPr>
        <w:t>Widespread use of reconstituted Bath stone</w:t>
      </w:r>
      <w:r>
        <w:rPr>
          <w:rFonts w:ascii="Trebuchet MS" w:hAnsi="Trebuchet MS"/>
          <w:i/>
        </w:rPr>
        <w:t xml:space="preserve"> (our emphasis)</w:t>
      </w:r>
      <w:r w:rsidRPr="00E414EC">
        <w:rPr>
          <w:rFonts w:ascii="Trebuchet MS" w:hAnsi="Trebuchet MS"/>
          <w:i/>
        </w:rPr>
        <w:t>, especially for commercial buildings. It provides a generally appropriate colour match but this advantage is eroded by wider mortar joints and a dull, lifeless character which (unlike Bath stone) does not improve with weathering.”</w:t>
      </w:r>
      <w:r>
        <w:rPr>
          <w:rFonts w:ascii="Trebuchet MS" w:hAnsi="Trebuchet MS"/>
        </w:rPr>
        <w:t xml:space="preserve"> This development instead has an adverse impact on the appearance of the area by the obscuring of the historic façade of the terrace of which some material had been retained </w:t>
      </w:r>
      <w:r>
        <w:rPr>
          <w:rFonts w:ascii="Trebuchet MS" w:hAnsi="Trebuchet MS"/>
        </w:rPr>
        <w:lastRenderedPageBreak/>
        <w:t xml:space="preserve">(see Appendix 1 of </w:t>
      </w:r>
      <w:r w:rsidR="0066238A">
        <w:rPr>
          <w:rFonts w:ascii="Trebuchet MS" w:hAnsi="Trebuchet MS"/>
        </w:rPr>
        <w:t xml:space="preserve">the </w:t>
      </w:r>
      <w:r>
        <w:rPr>
          <w:rFonts w:ascii="Trebuchet MS" w:hAnsi="Trebuchet MS"/>
        </w:rPr>
        <w:t xml:space="preserve">appellant’s Statement) in a material that poorly replicates Bath stone in an overly bright and homogenous finish. </w:t>
      </w:r>
    </w:p>
    <w:p w:rsidR="000619BF" w:rsidRDefault="006C387C" w:rsidP="007B79E6">
      <w:pPr>
        <w:spacing w:line="360" w:lineRule="auto"/>
        <w:rPr>
          <w:rFonts w:ascii="Trebuchet MS" w:hAnsi="Trebuchet MS"/>
        </w:rPr>
      </w:pPr>
      <w:r w:rsidRPr="000619BF">
        <w:rPr>
          <w:rFonts w:ascii="Trebuchet MS" w:hAnsi="Trebuchet MS"/>
        </w:rPr>
        <w:t>Recon</w:t>
      </w:r>
      <w:r w:rsidR="00B40FD4" w:rsidRPr="000619BF">
        <w:rPr>
          <w:rFonts w:ascii="Trebuchet MS" w:hAnsi="Trebuchet MS"/>
        </w:rPr>
        <w:t>stituted</w:t>
      </w:r>
      <w:r w:rsidRPr="000619BF">
        <w:rPr>
          <w:rFonts w:ascii="Trebuchet MS" w:hAnsi="Trebuchet MS"/>
        </w:rPr>
        <w:t xml:space="preserve"> stone is not considered an acceptable i</w:t>
      </w:r>
      <w:r w:rsidR="00B40FD4" w:rsidRPr="000619BF">
        <w:rPr>
          <w:rFonts w:ascii="Trebuchet MS" w:hAnsi="Trebuchet MS"/>
        </w:rPr>
        <w:t xml:space="preserve">ntervention across the visible elevations of historic terraces, which cumulatively make up part of the </w:t>
      </w:r>
      <w:r w:rsidRPr="000619BF">
        <w:rPr>
          <w:rFonts w:ascii="Trebuchet MS" w:hAnsi="Trebuchet MS"/>
        </w:rPr>
        <w:t xml:space="preserve">Georgian Town Planning </w:t>
      </w:r>
      <w:r w:rsidR="00B40FD4" w:rsidRPr="000619BF">
        <w:rPr>
          <w:rFonts w:ascii="Trebuchet MS" w:hAnsi="Trebuchet MS"/>
        </w:rPr>
        <w:t xml:space="preserve">Outstanding Universal Value (OUV) of the Bath World Heritage Site, a heritage asset of </w:t>
      </w:r>
      <w:r w:rsidR="00B40FD4" w:rsidRPr="000619BF">
        <w:rPr>
          <w:rFonts w:ascii="Trebuchet MS" w:hAnsi="Trebuchet MS"/>
          <w:i/>
        </w:rPr>
        <w:t>“the highest significance”</w:t>
      </w:r>
      <w:r w:rsidR="00B40FD4" w:rsidRPr="000619BF">
        <w:rPr>
          <w:rFonts w:ascii="Trebuchet MS" w:hAnsi="Trebuchet MS"/>
        </w:rPr>
        <w:t xml:space="preserve"> (paragraph 189, NPPF). </w:t>
      </w:r>
      <w:r w:rsidR="000619BF" w:rsidRPr="000619BF">
        <w:rPr>
          <w:rFonts w:ascii="Trebuchet MS" w:hAnsi="Trebuchet MS"/>
        </w:rPr>
        <w:t>Part of the significance of the World Heritage Site is its homogenous 18</w:t>
      </w:r>
      <w:r w:rsidR="000619BF" w:rsidRPr="000619BF">
        <w:rPr>
          <w:rFonts w:ascii="Trebuchet MS" w:hAnsi="Trebuchet MS"/>
          <w:vertAlign w:val="superscript"/>
        </w:rPr>
        <w:t>th</w:t>
      </w:r>
      <w:r w:rsidR="000619BF" w:rsidRPr="000619BF">
        <w:rPr>
          <w:rFonts w:ascii="Trebuchet MS" w:hAnsi="Trebuchet MS"/>
        </w:rPr>
        <w:t xml:space="preserve"> – 19</w:t>
      </w:r>
      <w:r w:rsidR="000619BF" w:rsidRPr="000619BF">
        <w:rPr>
          <w:rFonts w:ascii="Trebuchet MS" w:hAnsi="Trebuchet MS"/>
          <w:vertAlign w:val="superscript"/>
        </w:rPr>
        <w:t>th</w:t>
      </w:r>
      <w:r w:rsidR="000619BF" w:rsidRPr="000619BF">
        <w:rPr>
          <w:rFonts w:ascii="Trebuchet MS" w:hAnsi="Trebuchet MS"/>
        </w:rPr>
        <w:t xml:space="preserve"> century development in local Oolitic (Bath) limestone, developing a distinct localised ‘vernacular’ in material, colour, and architectural form closely connected with local quarrying industry.</w:t>
      </w:r>
      <w:r w:rsidR="000619BF">
        <w:rPr>
          <w:rFonts w:ascii="Trebuchet MS" w:hAnsi="Trebuchet MS"/>
        </w:rPr>
        <w:t xml:space="preserve"> </w:t>
      </w:r>
    </w:p>
    <w:p w:rsidR="006C387C" w:rsidRPr="007B79E6" w:rsidRDefault="006C387C" w:rsidP="009F13CA">
      <w:pPr>
        <w:spacing w:line="360" w:lineRule="auto"/>
        <w:rPr>
          <w:rFonts w:ascii="Trebuchet MS" w:hAnsi="Trebuchet MS"/>
        </w:rPr>
      </w:pPr>
      <w:r w:rsidRPr="00B40FD4">
        <w:rPr>
          <w:rFonts w:ascii="Trebuchet MS" w:hAnsi="Trebuchet MS"/>
        </w:rPr>
        <w:t xml:space="preserve">Objective 9 of the World Heritage Site Management Plan 2016-2022 </w:t>
      </w:r>
      <w:r w:rsidR="009F13CA" w:rsidRPr="00B40FD4">
        <w:rPr>
          <w:rFonts w:ascii="Trebuchet MS" w:hAnsi="Trebuchet MS"/>
        </w:rPr>
        <w:t xml:space="preserve">is to </w:t>
      </w:r>
      <w:r w:rsidR="009F13CA" w:rsidRPr="00B40FD4">
        <w:rPr>
          <w:rFonts w:ascii="Trebuchet MS" w:hAnsi="Trebuchet MS"/>
          <w:i/>
        </w:rPr>
        <w:t>“e</w:t>
      </w:r>
      <w:r w:rsidRPr="00B40FD4">
        <w:rPr>
          <w:rFonts w:ascii="Trebuchet MS" w:hAnsi="Trebuchet MS"/>
          <w:i/>
        </w:rPr>
        <w:t>nsure that damaged and disused</w:t>
      </w:r>
      <w:r w:rsidR="009F13CA" w:rsidRPr="00B40FD4">
        <w:rPr>
          <w:rFonts w:ascii="Trebuchet MS" w:hAnsi="Trebuchet MS"/>
          <w:i/>
        </w:rPr>
        <w:t xml:space="preserve"> </w:t>
      </w:r>
      <w:r w:rsidRPr="00B40FD4">
        <w:rPr>
          <w:rFonts w:ascii="Trebuchet MS" w:hAnsi="Trebuchet MS"/>
          <w:i/>
        </w:rPr>
        <w:t>historic structures within the Site are monitored,</w:t>
      </w:r>
      <w:r w:rsidR="009F13CA" w:rsidRPr="00B40FD4">
        <w:rPr>
          <w:rFonts w:ascii="Trebuchet MS" w:hAnsi="Trebuchet MS"/>
          <w:i/>
        </w:rPr>
        <w:t xml:space="preserve"> </w:t>
      </w:r>
      <w:r w:rsidRPr="00B40FD4">
        <w:rPr>
          <w:rFonts w:ascii="Trebuchet MS" w:hAnsi="Trebuchet MS"/>
          <w:i/>
        </w:rPr>
        <w:t>repaired, maintaine</w:t>
      </w:r>
      <w:r w:rsidR="009F13CA" w:rsidRPr="00B40FD4">
        <w:rPr>
          <w:rFonts w:ascii="Trebuchet MS" w:hAnsi="Trebuchet MS"/>
          <w:i/>
        </w:rPr>
        <w:t xml:space="preserve">d and where appropriate re-used” </w:t>
      </w:r>
      <w:r w:rsidR="009F13CA" w:rsidRPr="00B40FD4">
        <w:rPr>
          <w:rFonts w:ascii="Trebuchet MS" w:hAnsi="Trebuchet MS"/>
        </w:rPr>
        <w:t>(p.35).</w:t>
      </w:r>
      <w:r w:rsidR="009F13CA" w:rsidRPr="00B40FD4">
        <w:rPr>
          <w:rFonts w:ascii="Trebuchet MS" w:hAnsi="Trebuchet MS"/>
          <w:i/>
        </w:rPr>
        <w:t xml:space="preserve"> </w:t>
      </w:r>
      <w:r w:rsidR="009F13CA" w:rsidRPr="00B40FD4">
        <w:rPr>
          <w:rFonts w:ascii="Trebuchet MS" w:hAnsi="Trebuchet MS"/>
        </w:rPr>
        <w:t xml:space="preserve">However, the wider remit of this objective is intended to ensure that good conservation practice is used to inform the repair and maintenance of Bath’s historic building stock. </w:t>
      </w:r>
      <w:r w:rsidR="009F13CA" w:rsidRPr="00B40FD4">
        <w:rPr>
          <w:rFonts w:ascii="Trebuchet MS" w:hAnsi="Trebuchet MS"/>
          <w:i/>
        </w:rPr>
        <w:t xml:space="preserve">“Incremental changes from </w:t>
      </w:r>
      <w:r w:rsidR="009F13CA" w:rsidRPr="00B40FD4">
        <w:rPr>
          <w:rFonts w:ascii="Trebuchet MS" w:hAnsi="Trebuchet MS"/>
          <w:i/>
          <w:u w:val="single"/>
        </w:rPr>
        <w:t>poorly executed or informed repair, or the use of inappropriate materials</w:t>
      </w:r>
      <w:r w:rsidR="009F13CA" w:rsidRPr="00B40FD4">
        <w:rPr>
          <w:rFonts w:ascii="Trebuchet MS" w:hAnsi="Trebuchet MS"/>
          <w:i/>
        </w:rPr>
        <w:t xml:space="preserve"> (our emphasis), such as cement pointing or plastic windows, can erode the authenticity, character and </w:t>
      </w:r>
      <w:r w:rsidR="009F13CA" w:rsidRPr="007B79E6">
        <w:rPr>
          <w:rFonts w:ascii="Trebuchet MS" w:hAnsi="Trebuchet MS"/>
          <w:i/>
        </w:rPr>
        <w:t xml:space="preserve">appearance of historic buildings” </w:t>
      </w:r>
      <w:r w:rsidR="009F13CA" w:rsidRPr="007B79E6">
        <w:rPr>
          <w:rFonts w:ascii="Trebuchet MS" w:hAnsi="Trebuchet MS"/>
        </w:rPr>
        <w:t xml:space="preserve">(p.34), and result in cumulative harm </w:t>
      </w:r>
    </w:p>
    <w:p w:rsidR="006C387C" w:rsidRPr="007B79E6" w:rsidRDefault="007B79E6" w:rsidP="006C387C">
      <w:pPr>
        <w:spacing w:line="360" w:lineRule="auto"/>
        <w:rPr>
          <w:rFonts w:ascii="Trebuchet MS" w:hAnsi="Trebuchet MS"/>
        </w:rPr>
      </w:pPr>
      <w:r w:rsidRPr="007B79E6">
        <w:rPr>
          <w:rFonts w:ascii="Trebuchet MS" w:hAnsi="Trebuchet MS"/>
        </w:rPr>
        <w:t xml:space="preserve">We maintain that whilst harm to the World Heritage Site is less than substantial, this development could set a dangerous precedent for the substitution of modern alternatives in place of traditional materials and construction methods, with resulting cumulative harm to the special </w:t>
      </w:r>
      <w:r w:rsidR="00DC226B">
        <w:rPr>
          <w:rFonts w:ascii="Trebuchet MS" w:hAnsi="Trebuchet MS"/>
        </w:rPr>
        <w:t xml:space="preserve">architectural and historic </w:t>
      </w:r>
      <w:r w:rsidRPr="007B79E6">
        <w:rPr>
          <w:rFonts w:ascii="Trebuchet MS" w:hAnsi="Trebuchet MS"/>
        </w:rPr>
        <w:t xml:space="preserve">interest of the listed building and the wider special qualities of the World Heritage Site.  </w:t>
      </w:r>
    </w:p>
    <w:p w:rsidR="007B79E6" w:rsidRDefault="007B79E6" w:rsidP="006C387C">
      <w:pPr>
        <w:spacing w:line="360" w:lineRule="auto"/>
        <w:rPr>
          <w:rFonts w:ascii="Trebuchet MS" w:hAnsi="Trebuchet MS"/>
          <w:b/>
        </w:rPr>
      </w:pPr>
    </w:p>
    <w:p w:rsidR="00A208D2" w:rsidRPr="00957C28" w:rsidRDefault="00A208D2" w:rsidP="00A208D2">
      <w:pPr>
        <w:spacing w:line="360" w:lineRule="auto"/>
        <w:rPr>
          <w:rFonts w:ascii="Trebuchet MS" w:hAnsi="Trebuchet MS"/>
          <w:b/>
          <w:u w:val="single"/>
        </w:rPr>
      </w:pPr>
      <w:r w:rsidRPr="00957C28">
        <w:rPr>
          <w:rFonts w:ascii="Trebuchet MS" w:hAnsi="Trebuchet MS"/>
          <w:b/>
          <w:u w:val="single"/>
        </w:rPr>
        <w:t>Precedent of Application 17/01505/FUL</w:t>
      </w:r>
    </w:p>
    <w:p w:rsidR="00A208D2" w:rsidRDefault="00A208D2" w:rsidP="00A208D2">
      <w:pPr>
        <w:spacing w:line="360" w:lineRule="auto"/>
        <w:rPr>
          <w:rFonts w:ascii="Trebuchet MS" w:hAnsi="Trebuchet MS"/>
        </w:rPr>
      </w:pPr>
      <w:r w:rsidRPr="00CC7465">
        <w:rPr>
          <w:rFonts w:ascii="Trebuchet MS" w:hAnsi="Trebuchet MS"/>
        </w:rPr>
        <w:t xml:space="preserve">The appellant has referred to previous works under application 17/01505/FUL as an example of the acceptable use of reconstituted stone in this area. </w:t>
      </w:r>
    </w:p>
    <w:p w:rsidR="00A208D2" w:rsidRDefault="00A208D2" w:rsidP="00A208D2">
      <w:pPr>
        <w:spacing w:line="360" w:lineRule="auto"/>
        <w:rPr>
          <w:rFonts w:ascii="Trebuchet MS" w:hAnsi="Trebuchet MS"/>
        </w:rPr>
      </w:pPr>
      <w:r w:rsidRPr="00CC7465">
        <w:rPr>
          <w:rFonts w:ascii="Trebuchet MS" w:hAnsi="Trebuchet MS"/>
        </w:rPr>
        <w:t xml:space="preserve">We note that application 17/01505/FUL has been incorrectly attributed to the Grade II* Cleveland Pools, and instead details the proposed reconstruction of the boundary wall to </w:t>
      </w:r>
      <w:r>
        <w:rPr>
          <w:rFonts w:ascii="Trebuchet MS" w:hAnsi="Trebuchet MS"/>
        </w:rPr>
        <w:t xml:space="preserve">1-7 </w:t>
      </w:r>
      <w:r w:rsidRPr="00CC7465">
        <w:rPr>
          <w:rFonts w:ascii="Trebuchet MS" w:hAnsi="Trebuchet MS"/>
        </w:rPr>
        <w:t>Cleveland Row</w:t>
      </w:r>
      <w:r>
        <w:rPr>
          <w:rFonts w:ascii="Trebuchet MS" w:hAnsi="Trebuchet MS"/>
        </w:rPr>
        <w:t xml:space="preserve">, an unlisted section of terrace dated to 1875 (Bathwick CACA, p. 11; Know Your Place). The works proposed include the </w:t>
      </w:r>
      <w:r w:rsidRPr="00A208D2">
        <w:rPr>
          <w:rFonts w:ascii="Trebuchet MS" w:hAnsi="Trebuchet MS"/>
        </w:rPr>
        <w:t xml:space="preserve">demolition of </w:t>
      </w:r>
      <w:r w:rsidR="0066238A">
        <w:rPr>
          <w:rFonts w:ascii="Trebuchet MS" w:hAnsi="Trebuchet MS"/>
        </w:rPr>
        <w:t xml:space="preserve">the </w:t>
      </w:r>
      <w:r w:rsidRPr="00A208D2">
        <w:rPr>
          <w:rFonts w:ascii="Trebuchet MS" w:hAnsi="Trebuchet MS"/>
        </w:rPr>
        <w:t>existing deteriorating stone (ashlar)</w:t>
      </w:r>
      <w:r w:rsidR="0066238A">
        <w:rPr>
          <w:rFonts w:ascii="Trebuchet MS" w:hAnsi="Trebuchet MS"/>
        </w:rPr>
        <w:t>/</w:t>
      </w:r>
      <w:r w:rsidRPr="00A208D2">
        <w:rPr>
          <w:rFonts w:ascii="Trebuchet MS" w:hAnsi="Trebuchet MS"/>
        </w:rPr>
        <w:t>concrete block built retaining</w:t>
      </w:r>
      <w:r>
        <w:rPr>
          <w:rFonts w:ascii="Trebuchet MS" w:hAnsi="Trebuchet MS"/>
        </w:rPr>
        <w:t xml:space="preserve"> </w:t>
      </w:r>
      <w:r w:rsidRPr="00A208D2">
        <w:rPr>
          <w:rFonts w:ascii="Trebuchet MS" w:hAnsi="Trebuchet MS"/>
        </w:rPr>
        <w:t>garden/boundary wall and piers</w:t>
      </w:r>
      <w:r>
        <w:rPr>
          <w:rFonts w:ascii="Trebuchet MS" w:hAnsi="Trebuchet MS"/>
        </w:rPr>
        <w:t xml:space="preserve"> to the rear of the terrace, and reconstruction in Bath stone </w:t>
      </w:r>
      <w:r w:rsidRPr="00A208D2">
        <w:rPr>
          <w:rFonts w:ascii="Trebuchet MS" w:hAnsi="Trebuchet MS"/>
        </w:rPr>
        <w:t>facing reinforced cavity</w:t>
      </w:r>
      <w:r>
        <w:rPr>
          <w:rFonts w:ascii="Trebuchet MS" w:hAnsi="Trebuchet MS"/>
        </w:rPr>
        <w:t xml:space="preserve"> </w:t>
      </w:r>
      <w:r w:rsidRPr="00A208D2">
        <w:rPr>
          <w:rFonts w:ascii="Trebuchet MS" w:hAnsi="Trebuchet MS"/>
        </w:rPr>
        <w:t>filled blockwork wall</w:t>
      </w:r>
      <w:r>
        <w:rPr>
          <w:rFonts w:ascii="Trebuchet MS" w:hAnsi="Trebuchet MS"/>
        </w:rPr>
        <w:t xml:space="preserve">. </w:t>
      </w:r>
    </w:p>
    <w:p w:rsidR="00A208D2" w:rsidRDefault="00A208D2" w:rsidP="00A208D2">
      <w:pPr>
        <w:spacing w:line="360" w:lineRule="auto"/>
        <w:rPr>
          <w:rFonts w:ascii="Trebuchet MS" w:hAnsi="Trebuchet MS"/>
        </w:rPr>
      </w:pPr>
      <w:r>
        <w:rPr>
          <w:rFonts w:ascii="Trebuchet MS" w:hAnsi="Trebuchet MS"/>
        </w:rPr>
        <w:lastRenderedPageBreak/>
        <w:t xml:space="preserve">Condition 3 set out that </w:t>
      </w:r>
      <w:r w:rsidRPr="00A208D2">
        <w:rPr>
          <w:rFonts w:ascii="Trebuchet MS" w:hAnsi="Trebuchet MS"/>
          <w:i/>
        </w:rPr>
        <w:t>“no construction of the external walls of the development shall commence until a sample panel of all external walling materials to be used has been erected on site, approved in writing by the Local Planning Authority.”</w:t>
      </w:r>
      <w:r w:rsidR="00262F33">
        <w:rPr>
          <w:rFonts w:ascii="Trebuchet MS" w:hAnsi="Trebuchet MS"/>
        </w:rPr>
        <w:t xml:space="preserve"> This C</w:t>
      </w:r>
      <w:r>
        <w:rPr>
          <w:rFonts w:ascii="Trebuchet MS" w:hAnsi="Trebuchet MS"/>
        </w:rPr>
        <w:t xml:space="preserve">ondition was discharged under </w:t>
      </w:r>
      <w:r w:rsidRPr="00A208D2">
        <w:rPr>
          <w:rFonts w:ascii="Trebuchet MS" w:hAnsi="Trebuchet MS"/>
        </w:rPr>
        <w:t>18/01419/COND</w:t>
      </w:r>
      <w:r>
        <w:rPr>
          <w:rFonts w:ascii="Trebuchet MS" w:hAnsi="Trebuchet MS"/>
        </w:rPr>
        <w:t xml:space="preserve">. Samples provided confirm that the rear wall would be faced in Bath stone (see wall sample dating 28/03/2018). The use of reconstituted stone that the appellant refers to is limited to the proposed use of cast stone for the wall copings. The </w:t>
      </w:r>
      <w:r w:rsidR="00233E77">
        <w:rPr>
          <w:rFonts w:ascii="Trebuchet MS" w:hAnsi="Trebuchet MS"/>
        </w:rPr>
        <w:t>case</w:t>
      </w:r>
      <w:r>
        <w:rPr>
          <w:rFonts w:ascii="Trebuchet MS" w:hAnsi="Trebuchet MS"/>
        </w:rPr>
        <w:t xml:space="preserve"> officer concluded that </w:t>
      </w:r>
      <w:r w:rsidRPr="00A208D2">
        <w:rPr>
          <w:rFonts w:ascii="Trebuchet MS" w:hAnsi="Trebuchet MS"/>
          <w:i/>
        </w:rPr>
        <w:t xml:space="preserve">“the submitted details of the ashlar wall sample panel constructed and provided for inspection on site is acceptable </w:t>
      </w:r>
      <w:r w:rsidRPr="00A208D2">
        <w:rPr>
          <w:rFonts w:ascii="Trebuchet MS" w:hAnsi="Trebuchet MS"/>
          <w:i/>
          <w:u w:val="single"/>
        </w:rPr>
        <w:t>notwithstanding the coping stone sample</w:t>
      </w:r>
      <w:r w:rsidRPr="00A208D2">
        <w:rPr>
          <w:rFonts w:ascii="Trebuchet MS" w:hAnsi="Trebuchet MS"/>
          <w:i/>
        </w:rPr>
        <w:t xml:space="preserve"> (our emphasis)”</w:t>
      </w:r>
      <w:r>
        <w:rPr>
          <w:rFonts w:ascii="Trebuchet MS" w:hAnsi="Trebuchet MS"/>
        </w:rPr>
        <w:t xml:space="preserve">, in reference to the sample dated 27/06/2018 which was superseded by a sample of a more appropriate colour dated 09/07/2018. </w:t>
      </w:r>
    </w:p>
    <w:p w:rsidR="00CF7549" w:rsidRDefault="00B05DE4" w:rsidP="006C387C">
      <w:pPr>
        <w:spacing w:line="360" w:lineRule="auto"/>
        <w:rPr>
          <w:rFonts w:ascii="Trebuchet MS" w:hAnsi="Trebuchet MS"/>
        </w:rPr>
      </w:pPr>
      <w:r w:rsidRPr="00CF7549">
        <w:rPr>
          <w:rFonts w:ascii="Trebuchet MS" w:hAnsi="Trebuchet MS"/>
        </w:rPr>
        <w:t>We therefore conclude that this example is not an appropriate precedent or case study to consider in relation to this appeal.</w:t>
      </w:r>
      <w:r w:rsidR="00CF7549" w:rsidRPr="00CF7549">
        <w:rPr>
          <w:rFonts w:ascii="Trebuchet MS" w:hAnsi="Trebuchet MS"/>
        </w:rPr>
        <w:t xml:space="preserve"> Application</w:t>
      </w:r>
      <w:r w:rsidR="00CF7549" w:rsidRPr="00CF7549">
        <w:t xml:space="preserve"> </w:t>
      </w:r>
      <w:r w:rsidR="00CF7549" w:rsidRPr="00CF7549">
        <w:rPr>
          <w:rFonts w:ascii="Trebuchet MS" w:hAnsi="Trebuchet MS"/>
        </w:rPr>
        <w:t>17/01505/FUL</w:t>
      </w:r>
      <w:r w:rsidR="00CF7549">
        <w:rPr>
          <w:rFonts w:ascii="Trebuchet MS" w:hAnsi="Trebuchet MS"/>
        </w:rPr>
        <w:t xml:space="preserve"> relates to the boundary treatment of an unlisted terrace; whilst this could be considered relevant in relation to wider impact on the conservation area, the boundary wall in question is set to the rear of the terrace and is not visible from Hampton Row, and is set behind the Grade II* Cleveland Pools to the north and is subsequently screened from riverside views. </w:t>
      </w:r>
    </w:p>
    <w:p w:rsidR="00CF7549" w:rsidRDefault="00CF7549" w:rsidP="006C387C">
      <w:pPr>
        <w:spacing w:line="360" w:lineRule="auto"/>
        <w:rPr>
          <w:rFonts w:ascii="Trebuchet MS" w:hAnsi="Trebuchet MS"/>
        </w:rPr>
      </w:pPr>
      <w:r>
        <w:rPr>
          <w:rFonts w:ascii="Trebuchet MS" w:hAnsi="Trebuchet MS"/>
        </w:rPr>
        <w:t xml:space="preserve">The appellant stated that the case officer concluded that the works under application </w:t>
      </w:r>
      <w:r w:rsidRPr="00CF7549">
        <w:rPr>
          <w:rFonts w:ascii="Trebuchet MS" w:hAnsi="Trebuchet MS"/>
        </w:rPr>
        <w:t xml:space="preserve">17/01505/FUL </w:t>
      </w:r>
      <w:r>
        <w:rPr>
          <w:rFonts w:ascii="Trebuchet MS" w:hAnsi="Trebuchet MS"/>
        </w:rPr>
        <w:t>“</w:t>
      </w:r>
      <w:r w:rsidRPr="00CF7549">
        <w:rPr>
          <w:rFonts w:ascii="Trebuchet MS" w:hAnsi="Trebuchet MS"/>
        </w:rPr>
        <w:t>concluded would too distant to be adverse</w:t>
      </w:r>
      <w:r>
        <w:rPr>
          <w:rFonts w:ascii="Trebuchet MS" w:hAnsi="Trebuchet MS"/>
        </w:rPr>
        <w:t xml:space="preserve">”. In reference to Appendix 11 of the appellant’s Statement, we would like to clarify that the case officer’s statement is in reference to the “living conditions of those properties” neighbouring 1-7 Cleveland Row. </w:t>
      </w:r>
    </w:p>
    <w:p w:rsidR="00CF7549" w:rsidRDefault="00CF7549" w:rsidP="006C387C">
      <w:pPr>
        <w:spacing w:line="360" w:lineRule="auto"/>
        <w:rPr>
          <w:rFonts w:ascii="Trebuchet MS" w:hAnsi="Trebuchet MS"/>
        </w:rPr>
      </w:pPr>
      <w:r>
        <w:rPr>
          <w:rFonts w:ascii="Trebuchet MS" w:hAnsi="Trebuchet MS"/>
        </w:rPr>
        <w:t xml:space="preserve">The use of reconstituted stone is limited to the wall’s coping stone in a close-matching colour sample and is therefore not comparable to the extensive and visually incongruous use of reconstituted stone in this appeal. </w:t>
      </w:r>
    </w:p>
    <w:p w:rsidR="006C387C" w:rsidRDefault="006C387C" w:rsidP="006C387C">
      <w:pPr>
        <w:spacing w:line="360" w:lineRule="auto"/>
        <w:rPr>
          <w:rFonts w:ascii="Trebuchet MS" w:hAnsi="Trebuchet MS"/>
          <w:b/>
        </w:rPr>
      </w:pPr>
    </w:p>
    <w:p w:rsidR="001D392F" w:rsidRPr="00957C28" w:rsidRDefault="001D392F" w:rsidP="00B966C2">
      <w:pPr>
        <w:spacing w:line="360" w:lineRule="auto"/>
        <w:rPr>
          <w:rFonts w:ascii="Trebuchet MS" w:hAnsi="Trebuchet MS"/>
          <w:b/>
          <w:u w:val="single"/>
        </w:rPr>
      </w:pPr>
      <w:r w:rsidRPr="00957C28">
        <w:rPr>
          <w:rFonts w:ascii="Trebuchet MS" w:hAnsi="Trebuchet MS"/>
          <w:b/>
          <w:u w:val="single"/>
        </w:rPr>
        <w:t xml:space="preserve">Breach </w:t>
      </w:r>
      <w:r w:rsidR="009C619E" w:rsidRPr="00957C28">
        <w:rPr>
          <w:rFonts w:ascii="Trebuchet MS" w:hAnsi="Trebuchet MS"/>
          <w:b/>
          <w:u w:val="single"/>
        </w:rPr>
        <w:t>of C</w:t>
      </w:r>
      <w:r w:rsidRPr="00957C28">
        <w:rPr>
          <w:rFonts w:ascii="Trebuchet MS" w:hAnsi="Trebuchet MS"/>
          <w:b/>
          <w:u w:val="single"/>
        </w:rPr>
        <w:t>ondition</w:t>
      </w:r>
      <w:r w:rsidR="009C619E" w:rsidRPr="00957C28">
        <w:rPr>
          <w:rFonts w:ascii="Trebuchet MS" w:hAnsi="Trebuchet MS"/>
          <w:b/>
          <w:u w:val="single"/>
        </w:rPr>
        <w:t xml:space="preserve"> 2</w:t>
      </w:r>
    </w:p>
    <w:p w:rsidR="009C619E" w:rsidRDefault="00736C5D" w:rsidP="00736C5D">
      <w:pPr>
        <w:spacing w:line="360" w:lineRule="auto"/>
        <w:rPr>
          <w:rFonts w:ascii="Trebuchet MS" w:hAnsi="Trebuchet MS"/>
        </w:rPr>
      </w:pPr>
      <w:r w:rsidRPr="00736C5D">
        <w:rPr>
          <w:rFonts w:ascii="Trebuchet MS" w:hAnsi="Trebuchet MS"/>
        </w:rPr>
        <w:t xml:space="preserve">As </w:t>
      </w:r>
      <w:r>
        <w:rPr>
          <w:rFonts w:ascii="Trebuchet MS" w:hAnsi="Trebuchet MS"/>
        </w:rPr>
        <w:t>set out</w:t>
      </w:r>
      <w:r w:rsidRPr="00736C5D">
        <w:rPr>
          <w:rFonts w:ascii="Trebuchet MS" w:hAnsi="Trebuchet MS"/>
        </w:rPr>
        <w:t xml:space="preserve"> in the </w:t>
      </w:r>
      <w:r w:rsidR="0066238A">
        <w:rPr>
          <w:rFonts w:ascii="Trebuchet MS" w:hAnsi="Trebuchet MS"/>
        </w:rPr>
        <w:t>a</w:t>
      </w:r>
      <w:r w:rsidRPr="00736C5D">
        <w:rPr>
          <w:rFonts w:ascii="Trebuchet MS" w:hAnsi="Trebuchet MS"/>
        </w:rPr>
        <w:t xml:space="preserve">ppellant’s Statement, </w:t>
      </w:r>
      <w:r>
        <w:rPr>
          <w:rFonts w:ascii="Trebuchet MS" w:hAnsi="Trebuchet MS"/>
        </w:rPr>
        <w:t>the focus of this appeal is the</w:t>
      </w:r>
      <w:r w:rsidRPr="00736C5D">
        <w:rPr>
          <w:rFonts w:ascii="Trebuchet MS" w:hAnsi="Trebuchet MS"/>
          <w:i/>
        </w:rPr>
        <w:t xml:space="preserve"> “Failure to comply with condition 2 of listed building consent 14/04369/LBA and the unauthorised and inappropriate use of an external wall material (reconstituted stone) without listed building consent.”</w:t>
      </w:r>
      <w:r w:rsidR="00A0182B">
        <w:rPr>
          <w:rFonts w:ascii="Trebuchet MS" w:hAnsi="Trebuchet MS"/>
        </w:rPr>
        <w:t xml:space="preserve"> The </w:t>
      </w:r>
      <w:r w:rsidR="00AE6085">
        <w:rPr>
          <w:rFonts w:ascii="Trebuchet MS" w:hAnsi="Trebuchet MS"/>
        </w:rPr>
        <w:t>appellant</w:t>
      </w:r>
      <w:r w:rsidR="00A0182B">
        <w:rPr>
          <w:rFonts w:ascii="Trebuchet MS" w:hAnsi="Trebuchet MS"/>
        </w:rPr>
        <w:t xml:space="preserve"> asserts that the sample provided under application </w:t>
      </w:r>
      <w:r w:rsidR="003F7120" w:rsidRPr="003F7120">
        <w:rPr>
          <w:rFonts w:ascii="Trebuchet MS" w:hAnsi="Trebuchet MS"/>
        </w:rPr>
        <w:t xml:space="preserve">18/04212/COND </w:t>
      </w:r>
      <w:r w:rsidR="00A0182B">
        <w:rPr>
          <w:rFonts w:ascii="Trebuchet MS" w:hAnsi="Trebuchet MS"/>
        </w:rPr>
        <w:t xml:space="preserve">(photo dated 24/09/2018, </w:t>
      </w:r>
      <w:r w:rsidR="00A0182B" w:rsidRPr="00A0182B">
        <w:rPr>
          <w:rFonts w:ascii="Trebuchet MS" w:hAnsi="Trebuchet MS"/>
          <w:i/>
        </w:rPr>
        <w:t>“ashlar wall”</w:t>
      </w:r>
      <w:r w:rsidR="00A0182B">
        <w:rPr>
          <w:rFonts w:ascii="Trebuchet MS" w:hAnsi="Trebuchet MS"/>
        </w:rPr>
        <w:t>) is of reconstituted stone, and therefore the use of reconstituted stone does not constit</w:t>
      </w:r>
      <w:r w:rsidR="00262F33">
        <w:rPr>
          <w:rFonts w:ascii="Trebuchet MS" w:hAnsi="Trebuchet MS"/>
        </w:rPr>
        <w:t>ute a breach of the discharged C</w:t>
      </w:r>
      <w:r w:rsidR="00A0182B">
        <w:rPr>
          <w:rFonts w:ascii="Trebuchet MS" w:hAnsi="Trebuchet MS"/>
        </w:rPr>
        <w:t xml:space="preserve">ondition. </w:t>
      </w:r>
    </w:p>
    <w:p w:rsidR="006D78E6" w:rsidRDefault="003F7120" w:rsidP="00233E77">
      <w:pPr>
        <w:spacing w:line="360" w:lineRule="auto"/>
        <w:rPr>
          <w:rFonts w:ascii="Trebuchet MS" w:hAnsi="Trebuchet MS"/>
          <w:i/>
        </w:rPr>
      </w:pPr>
      <w:r>
        <w:rPr>
          <w:rFonts w:ascii="Trebuchet MS" w:hAnsi="Trebuchet MS"/>
        </w:rPr>
        <w:lastRenderedPageBreak/>
        <w:t xml:space="preserve">Under application </w:t>
      </w:r>
      <w:r w:rsidRPr="003F7120">
        <w:rPr>
          <w:rFonts w:ascii="Trebuchet MS" w:hAnsi="Trebuchet MS"/>
        </w:rPr>
        <w:t>18/04212/COND</w:t>
      </w:r>
      <w:r>
        <w:rPr>
          <w:rFonts w:ascii="Trebuchet MS" w:hAnsi="Trebuchet MS"/>
        </w:rPr>
        <w:t xml:space="preserve">, the case officer clearly specifies the submitted stone sample deemed </w:t>
      </w:r>
      <w:r w:rsidRPr="003F7120">
        <w:rPr>
          <w:rFonts w:ascii="Trebuchet MS" w:hAnsi="Trebuchet MS"/>
        </w:rPr>
        <w:t>acceptable and suffi</w:t>
      </w:r>
      <w:r w:rsidR="00262F33">
        <w:rPr>
          <w:rFonts w:ascii="Trebuchet MS" w:hAnsi="Trebuchet MS"/>
        </w:rPr>
        <w:t>cient to enable discharge of C</w:t>
      </w:r>
      <w:r>
        <w:rPr>
          <w:rFonts w:ascii="Trebuchet MS" w:hAnsi="Trebuchet MS"/>
        </w:rPr>
        <w:t>ondition</w:t>
      </w:r>
      <w:r w:rsidR="00262F33">
        <w:rPr>
          <w:rFonts w:ascii="Trebuchet MS" w:hAnsi="Trebuchet MS"/>
        </w:rPr>
        <w:t xml:space="preserve"> 2</w:t>
      </w:r>
      <w:r>
        <w:rPr>
          <w:rFonts w:ascii="Trebuchet MS" w:hAnsi="Trebuchet MS"/>
        </w:rPr>
        <w:t xml:space="preserve">: </w:t>
      </w:r>
      <w:r w:rsidRPr="003F7120">
        <w:rPr>
          <w:rFonts w:ascii="Trebuchet MS" w:hAnsi="Trebuchet MS"/>
          <w:i/>
        </w:rPr>
        <w:t xml:space="preserve">“Stone - </w:t>
      </w:r>
      <w:r w:rsidRPr="003F7120">
        <w:rPr>
          <w:rFonts w:ascii="Trebuchet MS" w:hAnsi="Trebuchet MS"/>
          <w:i/>
          <w:u w:val="single"/>
        </w:rPr>
        <w:t>Bath stone from Moonraker Masonry, Corsham</w:t>
      </w:r>
      <w:r w:rsidRPr="003F7120">
        <w:rPr>
          <w:rFonts w:ascii="Trebuchet MS" w:hAnsi="Trebuchet MS"/>
          <w:i/>
        </w:rPr>
        <w:t xml:space="preserve"> (our emphasis) (Photo dated 24.09.2018 'ashlar wall')</w:t>
      </w:r>
      <w:r>
        <w:rPr>
          <w:rFonts w:ascii="Trebuchet MS" w:hAnsi="Trebuchet MS"/>
          <w:i/>
        </w:rPr>
        <w:t>.</w:t>
      </w:r>
      <w:r w:rsidRPr="003F7120">
        <w:rPr>
          <w:rFonts w:ascii="Trebuchet MS" w:hAnsi="Trebuchet MS"/>
          <w:i/>
        </w:rPr>
        <w:t>”</w:t>
      </w:r>
      <w:r w:rsidR="00A9169B">
        <w:rPr>
          <w:rFonts w:ascii="Trebuchet MS" w:hAnsi="Trebuchet MS"/>
        </w:rPr>
        <w:t xml:space="preserve"> It is acknowledged that </w:t>
      </w:r>
      <w:r w:rsidR="00007C4B">
        <w:rPr>
          <w:rFonts w:ascii="Trebuchet MS" w:hAnsi="Trebuchet MS"/>
        </w:rPr>
        <w:t>the case officer</w:t>
      </w:r>
      <w:r w:rsidR="00A9169B">
        <w:rPr>
          <w:rFonts w:ascii="Trebuchet MS" w:hAnsi="Trebuchet MS"/>
        </w:rPr>
        <w:t xml:space="preserve"> refers to the </w:t>
      </w:r>
      <w:r w:rsidR="00007C4B">
        <w:rPr>
          <w:rFonts w:ascii="Trebuchet MS" w:hAnsi="Trebuchet MS"/>
        </w:rPr>
        <w:t xml:space="preserve">stone </w:t>
      </w:r>
      <w:r w:rsidR="00A9169B">
        <w:rPr>
          <w:rFonts w:ascii="Trebuchet MS" w:hAnsi="Trebuchet MS"/>
        </w:rPr>
        <w:t xml:space="preserve">sample </w:t>
      </w:r>
      <w:r w:rsidR="00007C4B">
        <w:rPr>
          <w:rFonts w:ascii="Trebuchet MS" w:hAnsi="Trebuchet MS"/>
        </w:rPr>
        <w:t xml:space="preserve">in the photo “ashlar wall” dated in 24.09.2018, which has been indicated by the appellant to be a photograph of the </w:t>
      </w:r>
      <w:r w:rsidR="00A9169B">
        <w:rPr>
          <w:rFonts w:ascii="Trebuchet MS" w:hAnsi="Trebuchet MS"/>
        </w:rPr>
        <w:t xml:space="preserve">reconstituted stone </w:t>
      </w:r>
      <w:r w:rsidR="00007C4B">
        <w:rPr>
          <w:rFonts w:ascii="Trebuchet MS" w:hAnsi="Trebuchet MS"/>
        </w:rPr>
        <w:t xml:space="preserve">sample </w:t>
      </w:r>
      <w:r w:rsidR="00A9169B">
        <w:rPr>
          <w:rFonts w:ascii="Trebuchet MS" w:hAnsi="Trebuchet MS"/>
        </w:rPr>
        <w:t xml:space="preserve">supplied by Jewsons Bath (see Appendix 8 of the appellant’s Statement). </w:t>
      </w:r>
      <w:r w:rsidR="00007C4B">
        <w:rPr>
          <w:rFonts w:ascii="Trebuchet MS" w:hAnsi="Trebuchet MS"/>
        </w:rPr>
        <w:t xml:space="preserve">However, </w:t>
      </w:r>
      <w:r w:rsidR="00964B65">
        <w:rPr>
          <w:rFonts w:ascii="Trebuchet MS" w:hAnsi="Trebuchet MS"/>
        </w:rPr>
        <w:t xml:space="preserve">the written discharge of the condition clearly refers to the samples of natural stone </w:t>
      </w:r>
      <w:r w:rsidR="00964B65" w:rsidRPr="00233E77">
        <w:rPr>
          <w:rFonts w:ascii="Trebuchet MS" w:hAnsi="Trebuchet MS"/>
          <w:i/>
        </w:rPr>
        <w:t>“as viewed on site 04.10.2018”</w:t>
      </w:r>
      <w:r w:rsidR="00964B65">
        <w:rPr>
          <w:rFonts w:ascii="Trebuchet MS" w:hAnsi="Trebuchet MS"/>
        </w:rPr>
        <w:t xml:space="preserve"> (Decision Notice, Application </w:t>
      </w:r>
      <w:r w:rsidR="00964B65" w:rsidRPr="00964B65">
        <w:rPr>
          <w:rFonts w:ascii="Trebuchet MS" w:hAnsi="Trebuchet MS"/>
        </w:rPr>
        <w:t>18/04212/COND</w:t>
      </w:r>
      <w:r w:rsidR="00233E77">
        <w:rPr>
          <w:rFonts w:ascii="Trebuchet MS" w:hAnsi="Trebuchet MS"/>
        </w:rPr>
        <w:t xml:space="preserve">) as acceptable. This accords with the Delegated Report attached to application </w:t>
      </w:r>
      <w:r w:rsidR="00233E77" w:rsidRPr="00233E77">
        <w:rPr>
          <w:rFonts w:ascii="Trebuchet MS" w:hAnsi="Trebuchet MS"/>
        </w:rPr>
        <w:t>14/04369/LBA</w:t>
      </w:r>
      <w:r w:rsidR="00233E77">
        <w:rPr>
          <w:rFonts w:ascii="Trebuchet MS" w:hAnsi="Trebuchet MS"/>
        </w:rPr>
        <w:t xml:space="preserve"> where it is stated that </w:t>
      </w:r>
      <w:r w:rsidR="00233E77" w:rsidRPr="00233E77">
        <w:rPr>
          <w:rFonts w:ascii="Trebuchet MS" w:hAnsi="Trebuchet MS"/>
          <w:i/>
        </w:rPr>
        <w:t xml:space="preserve">“The rear extension will be </w:t>
      </w:r>
      <w:r w:rsidR="00233E77" w:rsidRPr="00233E77">
        <w:rPr>
          <w:rFonts w:ascii="Trebuchet MS" w:hAnsi="Trebuchet MS"/>
          <w:i/>
          <w:u w:val="single"/>
        </w:rPr>
        <w:t>faced in Bath ashlar</w:t>
      </w:r>
      <w:r w:rsidR="00233E77" w:rsidRPr="00233E77">
        <w:rPr>
          <w:rFonts w:ascii="Trebuchet MS" w:hAnsi="Trebuchet MS"/>
          <w:i/>
        </w:rPr>
        <w:t xml:space="preserve"> (our emphasis) with a pitched slate roof with fenestration </w:t>
      </w:r>
      <w:r w:rsidR="00233E77" w:rsidRPr="00233E77">
        <w:rPr>
          <w:rFonts w:ascii="Trebuchet MS" w:hAnsi="Trebuchet MS"/>
          <w:i/>
          <w:u w:val="single"/>
        </w:rPr>
        <w:t>closely matching what is conjectured to be the original arrangement</w:t>
      </w:r>
      <w:r w:rsidR="00233E77" w:rsidRPr="00233E77">
        <w:rPr>
          <w:rFonts w:ascii="Trebuchet MS" w:hAnsi="Trebuchet MS"/>
          <w:i/>
        </w:rPr>
        <w:t xml:space="preserve"> (our emphasis).” </w:t>
      </w:r>
    </w:p>
    <w:p w:rsidR="00262F33" w:rsidRPr="00262F33" w:rsidRDefault="00262F33" w:rsidP="00233E77">
      <w:pPr>
        <w:spacing w:line="360" w:lineRule="auto"/>
        <w:rPr>
          <w:rFonts w:ascii="Trebuchet MS" w:hAnsi="Trebuchet MS"/>
        </w:rPr>
      </w:pPr>
      <w:r w:rsidRPr="00262F33">
        <w:rPr>
          <w:rFonts w:ascii="Trebuchet MS" w:hAnsi="Trebuchet MS"/>
          <w:b/>
        </w:rPr>
        <w:t>There is no writte</w:t>
      </w:r>
      <w:r>
        <w:rPr>
          <w:rFonts w:ascii="Trebuchet MS" w:hAnsi="Trebuchet MS"/>
          <w:b/>
        </w:rPr>
        <w:t xml:space="preserve">n indication that the use of </w:t>
      </w:r>
      <w:r w:rsidRPr="003D2E3E">
        <w:rPr>
          <w:rFonts w:ascii="Trebuchet MS" w:hAnsi="Trebuchet MS"/>
          <w:b/>
          <w:u w:val="single"/>
        </w:rPr>
        <w:t>reconstituted</w:t>
      </w:r>
      <w:r>
        <w:rPr>
          <w:rFonts w:ascii="Trebuchet MS" w:hAnsi="Trebuchet MS"/>
          <w:b/>
        </w:rPr>
        <w:t xml:space="preserve"> stone is considered acceptable to discharge Condition 2. </w:t>
      </w:r>
      <w:r w:rsidRPr="00262F33">
        <w:rPr>
          <w:rFonts w:ascii="Trebuchet MS" w:hAnsi="Trebuchet MS"/>
        </w:rPr>
        <w:t xml:space="preserve"> </w:t>
      </w:r>
    </w:p>
    <w:p w:rsidR="00262F33" w:rsidRPr="000C7FE1" w:rsidRDefault="006D78E6" w:rsidP="001A6D3A">
      <w:pPr>
        <w:spacing w:line="360" w:lineRule="auto"/>
        <w:rPr>
          <w:rFonts w:ascii="Trebuchet MS" w:hAnsi="Trebuchet MS"/>
        </w:rPr>
      </w:pPr>
      <w:r>
        <w:rPr>
          <w:rFonts w:ascii="Trebuchet MS" w:hAnsi="Trebuchet MS"/>
        </w:rPr>
        <w:t xml:space="preserve">BPT further notes that application </w:t>
      </w:r>
      <w:r w:rsidRPr="006D78E6">
        <w:rPr>
          <w:rFonts w:ascii="Trebuchet MS" w:hAnsi="Trebuchet MS"/>
        </w:rPr>
        <w:t xml:space="preserve">18/04212/COND </w:t>
      </w:r>
      <w:r>
        <w:rPr>
          <w:rFonts w:ascii="Trebuchet MS" w:hAnsi="Trebuchet MS"/>
        </w:rPr>
        <w:t>makes no written reference to the proposed use of a reconstituted or cast stone on-site. There is no apparent</w:t>
      </w:r>
      <w:r w:rsidR="00262F33">
        <w:rPr>
          <w:rFonts w:ascii="Trebuchet MS" w:hAnsi="Trebuchet MS"/>
        </w:rPr>
        <w:t xml:space="preserve"> </w:t>
      </w:r>
      <w:r>
        <w:rPr>
          <w:rFonts w:ascii="Trebuchet MS" w:hAnsi="Trebuchet MS"/>
        </w:rPr>
        <w:t>differentiation</w:t>
      </w:r>
      <w:r w:rsidR="00262F33">
        <w:rPr>
          <w:rFonts w:ascii="Trebuchet MS" w:hAnsi="Trebuchet MS"/>
        </w:rPr>
        <w:t xml:space="preserve"> </w:t>
      </w:r>
      <w:r>
        <w:rPr>
          <w:rFonts w:ascii="Trebuchet MS" w:hAnsi="Trebuchet MS"/>
        </w:rPr>
        <w:t>between the proposed use of natural Bath stone provided by Moonraker Masonry for “</w:t>
      </w:r>
      <w:r w:rsidRPr="006D78E6">
        <w:rPr>
          <w:rFonts w:ascii="Trebuchet MS" w:hAnsi="Trebuchet MS"/>
          <w:i/>
        </w:rPr>
        <w:t>parapet and verge copings only</w:t>
      </w:r>
      <w:r>
        <w:rPr>
          <w:rFonts w:ascii="Trebuchet MS" w:hAnsi="Trebuchet MS"/>
          <w:i/>
        </w:rPr>
        <w:t xml:space="preserve">” </w:t>
      </w:r>
      <w:r w:rsidR="0066238A">
        <w:rPr>
          <w:rFonts w:ascii="Trebuchet MS" w:hAnsi="Trebuchet MS"/>
        </w:rPr>
        <w:t xml:space="preserve">(Appendix 14 of the </w:t>
      </w:r>
      <w:r w:rsidRPr="006D78E6">
        <w:rPr>
          <w:rFonts w:ascii="Trebuchet MS" w:hAnsi="Trebuchet MS"/>
        </w:rPr>
        <w:t>appellant’s Statement)</w:t>
      </w:r>
      <w:r w:rsidR="001E22FC">
        <w:rPr>
          <w:rFonts w:ascii="Trebuchet MS" w:hAnsi="Trebuchet MS"/>
        </w:rPr>
        <w:t xml:space="preserve"> and the use of reconstituted stone for the rear elevation wall</w:t>
      </w:r>
      <w:r w:rsidR="00262F33">
        <w:rPr>
          <w:rFonts w:ascii="Trebuchet MS" w:hAnsi="Trebuchet MS"/>
        </w:rPr>
        <w:t xml:space="preserve"> as part of the application. </w:t>
      </w:r>
      <w:r w:rsidR="001A6D3A">
        <w:rPr>
          <w:rFonts w:ascii="Trebuchet MS" w:hAnsi="Trebuchet MS"/>
        </w:rPr>
        <w:t xml:space="preserve">The appellant has accepted that the intended use of reconstituted stone </w:t>
      </w:r>
      <w:r w:rsidR="001A6D3A" w:rsidRPr="003D2E3E">
        <w:rPr>
          <w:rFonts w:ascii="Trebuchet MS" w:hAnsi="Trebuchet MS"/>
          <w:i/>
        </w:rPr>
        <w:t>“may not have been made completely explicit as several materials were displayed on site including, paving, roof tiles and copings; but the appellant had not intended to deceive the LPA.”</w:t>
      </w:r>
    </w:p>
    <w:p w:rsidR="00B66BEB" w:rsidRPr="000C7FE1" w:rsidRDefault="00AE6085" w:rsidP="00B66BEB">
      <w:pPr>
        <w:spacing w:before="240" w:line="360" w:lineRule="auto"/>
        <w:rPr>
          <w:rFonts w:ascii="Trebuchet MS" w:hAnsi="Trebuchet MS"/>
        </w:rPr>
      </w:pPr>
      <w:r w:rsidRPr="000C7FE1">
        <w:rPr>
          <w:rFonts w:ascii="Trebuchet MS" w:hAnsi="Trebuchet MS"/>
        </w:rPr>
        <w:t xml:space="preserve">The appellant states that </w:t>
      </w:r>
      <w:r w:rsidRPr="000C7FE1">
        <w:rPr>
          <w:rFonts w:ascii="Trebuchet MS" w:hAnsi="Trebuchet MS"/>
          <w:i/>
        </w:rPr>
        <w:t>“the sample panel of Bath stone is from Forticrete and is an Ashlar Block in Bath colour.”</w:t>
      </w:r>
      <w:r w:rsidR="00AD5791" w:rsidRPr="000C7FE1">
        <w:rPr>
          <w:rFonts w:ascii="Trebuchet MS" w:hAnsi="Trebuchet MS"/>
          <w:i/>
        </w:rPr>
        <w:t xml:space="preserve"> </w:t>
      </w:r>
      <w:r w:rsidR="00CF2DE8" w:rsidRPr="000C7FE1">
        <w:rPr>
          <w:rFonts w:ascii="Trebuchet MS" w:hAnsi="Trebuchet MS"/>
        </w:rPr>
        <w:t xml:space="preserve">A communication with the case officer dated 29/10/2021 in Appendix 14 of the appellant’s Statement </w:t>
      </w:r>
      <w:r w:rsidR="00543A32" w:rsidRPr="000C7FE1">
        <w:rPr>
          <w:rFonts w:ascii="Trebuchet MS" w:hAnsi="Trebuchet MS"/>
        </w:rPr>
        <w:t xml:space="preserve">instead </w:t>
      </w:r>
      <w:r w:rsidR="00CF2DE8" w:rsidRPr="000C7FE1">
        <w:rPr>
          <w:rFonts w:ascii="Trebuchet MS" w:hAnsi="Trebuchet MS"/>
        </w:rPr>
        <w:t xml:space="preserve">indicated that the proposed walling stone sample is described by the supplier as </w:t>
      </w:r>
      <w:r w:rsidR="00CF2DE8" w:rsidRPr="000C7FE1">
        <w:rPr>
          <w:rFonts w:ascii="Trebuchet MS" w:hAnsi="Trebuchet MS"/>
          <w:i/>
        </w:rPr>
        <w:t>“Bath Ashlar Block”</w:t>
      </w:r>
      <w:r w:rsidR="00CF2DE8" w:rsidRPr="000C7FE1">
        <w:rPr>
          <w:rFonts w:ascii="Trebuchet MS" w:hAnsi="Trebuchet MS"/>
        </w:rPr>
        <w:t xml:space="preserve">. </w:t>
      </w:r>
      <w:r w:rsidR="00AD5791" w:rsidRPr="000C7FE1">
        <w:rPr>
          <w:rFonts w:ascii="Trebuchet MS" w:hAnsi="Trebuchet MS"/>
        </w:rPr>
        <w:t xml:space="preserve">The argument </w:t>
      </w:r>
      <w:r w:rsidR="00CF2DE8" w:rsidRPr="000C7FE1">
        <w:rPr>
          <w:rFonts w:ascii="Trebuchet MS" w:hAnsi="Trebuchet MS"/>
        </w:rPr>
        <w:t>made in Appendix 14</w:t>
      </w:r>
      <w:r w:rsidR="00113625" w:rsidRPr="000C7FE1">
        <w:rPr>
          <w:rFonts w:ascii="Trebuchet MS" w:hAnsi="Trebuchet MS"/>
        </w:rPr>
        <w:t xml:space="preserve"> of the appellant’s Statement </w:t>
      </w:r>
      <w:r w:rsidR="00AD5791" w:rsidRPr="000C7FE1">
        <w:rPr>
          <w:rFonts w:ascii="Trebuchet MS" w:hAnsi="Trebuchet MS"/>
        </w:rPr>
        <w:t xml:space="preserve">that the proposed use of </w:t>
      </w:r>
      <w:r w:rsidR="00AD5791" w:rsidRPr="000C7FE1">
        <w:rPr>
          <w:rFonts w:ascii="Trebuchet MS" w:hAnsi="Trebuchet MS"/>
          <w:i/>
        </w:rPr>
        <w:t>“Bath ashlar”</w:t>
      </w:r>
      <w:r w:rsidR="00AD5791" w:rsidRPr="000C7FE1">
        <w:rPr>
          <w:rFonts w:ascii="Trebuchet MS" w:hAnsi="Trebuchet MS"/>
        </w:rPr>
        <w:t xml:space="preserve"> </w:t>
      </w:r>
      <w:r w:rsidR="00113625" w:rsidRPr="000C7FE1">
        <w:rPr>
          <w:rFonts w:ascii="Trebuchet MS" w:hAnsi="Trebuchet MS"/>
        </w:rPr>
        <w:t xml:space="preserve">in in the Delegated Report of 14/04369/LBA </w:t>
      </w:r>
      <w:r w:rsidR="00AD5791" w:rsidRPr="000C7FE1">
        <w:rPr>
          <w:rFonts w:ascii="Trebuchet MS" w:hAnsi="Trebuchet MS"/>
        </w:rPr>
        <w:t>is not grammatically inconsistent with a similarly named reconstituted stone product is flawed, and undercuts the value that has been placed throughout the application process on the use of materials coherent with the special architectural and historic interest of a listed building. Furthermore,</w:t>
      </w:r>
      <w:r w:rsidR="00FD34BD" w:rsidRPr="000C7FE1">
        <w:rPr>
          <w:rFonts w:ascii="Trebuchet MS" w:hAnsi="Trebuchet MS"/>
        </w:rPr>
        <w:t xml:space="preserve"> the Forticrete website refers to the product as </w:t>
      </w:r>
      <w:r w:rsidR="00FD34BD" w:rsidRPr="000C7FE1">
        <w:rPr>
          <w:rFonts w:ascii="Trebuchet MS" w:hAnsi="Trebuchet MS"/>
          <w:i/>
        </w:rPr>
        <w:t>“Cast Stone”</w:t>
      </w:r>
      <w:r w:rsidR="00FD34BD" w:rsidRPr="000C7FE1">
        <w:rPr>
          <w:rFonts w:ascii="Trebuchet MS" w:hAnsi="Trebuchet MS"/>
        </w:rPr>
        <w:t xml:space="preserve"> in Bath colour (see Appendix 3) which cannot easily be conflated with Bath ashlar or Bath stone ashlar. </w:t>
      </w:r>
    </w:p>
    <w:p w:rsidR="00A906C0" w:rsidRPr="000C7FE1" w:rsidRDefault="00B66BEB" w:rsidP="00A906C0">
      <w:pPr>
        <w:spacing w:line="360" w:lineRule="auto"/>
        <w:rPr>
          <w:rFonts w:ascii="Trebuchet MS" w:hAnsi="Trebuchet MS"/>
        </w:rPr>
      </w:pPr>
      <w:r w:rsidRPr="000C7FE1">
        <w:rPr>
          <w:rFonts w:ascii="Trebuchet MS" w:hAnsi="Trebuchet MS"/>
        </w:rPr>
        <w:lastRenderedPageBreak/>
        <w:t xml:space="preserve">We do not consider that it can be asserted that the reference to </w:t>
      </w:r>
      <w:r w:rsidRPr="000C7FE1">
        <w:rPr>
          <w:rFonts w:ascii="Trebuchet MS" w:hAnsi="Trebuchet MS"/>
          <w:i/>
        </w:rPr>
        <w:t>“Bath stone”</w:t>
      </w:r>
      <w:r w:rsidRPr="000C7FE1">
        <w:rPr>
          <w:rFonts w:ascii="Trebuchet MS" w:hAnsi="Trebuchet MS"/>
        </w:rPr>
        <w:t xml:space="preserve"> in the Decision Notice of 18/04212/COND or </w:t>
      </w:r>
      <w:r w:rsidRPr="000C7FE1">
        <w:rPr>
          <w:rFonts w:ascii="Trebuchet MS" w:hAnsi="Trebuchet MS"/>
          <w:i/>
        </w:rPr>
        <w:t>“Bath ashlar”</w:t>
      </w:r>
      <w:r w:rsidRPr="000C7FE1">
        <w:rPr>
          <w:rFonts w:ascii="Trebuchet MS" w:hAnsi="Trebuchet MS"/>
        </w:rPr>
        <w:t xml:space="preserve"> in the Delegated Report of 14/04369/LBA refers to anything other than natural Bath stone ashlar to appropriately match the existing elevations. </w:t>
      </w:r>
      <w:r w:rsidR="00A906C0" w:rsidRPr="000C7FE1">
        <w:rPr>
          <w:rFonts w:ascii="Trebuchet MS" w:hAnsi="Trebuchet MS"/>
        </w:rPr>
        <w:t xml:space="preserve">Nowhere in application 18/04212/COND is it clearly specified that reconstituted stone is proposed, and consequently accepted to fulfil the requirements of Condition 2. </w:t>
      </w:r>
    </w:p>
    <w:p w:rsidR="008C7FCA" w:rsidRPr="000C7FE1" w:rsidRDefault="008C7FCA" w:rsidP="00A906C0">
      <w:pPr>
        <w:spacing w:line="360" w:lineRule="auto"/>
        <w:rPr>
          <w:rFonts w:ascii="Trebuchet MS" w:hAnsi="Trebuchet MS"/>
        </w:rPr>
      </w:pPr>
    </w:p>
    <w:p w:rsidR="008C7FCA" w:rsidRPr="000C7FE1" w:rsidRDefault="008C7FCA" w:rsidP="00A906C0">
      <w:pPr>
        <w:spacing w:line="360" w:lineRule="auto"/>
        <w:rPr>
          <w:rFonts w:ascii="Trebuchet MS" w:hAnsi="Trebuchet MS"/>
          <w:b/>
          <w:highlight w:val="yellow"/>
          <w:u w:val="single"/>
        </w:rPr>
      </w:pPr>
      <w:r w:rsidRPr="000C7FE1">
        <w:rPr>
          <w:rFonts w:ascii="Trebuchet MS" w:hAnsi="Trebuchet MS"/>
          <w:b/>
          <w:u w:val="single"/>
        </w:rPr>
        <w:t>Conclusion</w:t>
      </w:r>
    </w:p>
    <w:p w:rsidR="00B05E18" w:rsidRPr="000C7FE1" w:rsidRDefault="00B05E18" w:rsidP="00B05E18">
      <w:pPr>
        <w:spacing w:line="360" w:lineRule="auto"/>
        <w:rPr>
          <w:rFonts w:ascii="Trebuchet MS" w:hAnsi="Trebuchet MS"/>
        </w:rPr>
      </w:pPr>
      <w:r w:rsidRPr="000C7FE1">
        <w:rPr>
          <w:rFonts w:ascii="Trebuchet MS" w:hAnsi="Trebuchet MS"/>
        </w:rPr>
        <w:t>We maintain that this development constitutes the use of an inappropriate material and consequent harm to multiple heritage assets, including the Grade II building at 1</w:t>
      </w:r>
      <w:r w:rsidR="009445C4">
        <w:rPr>
          <w:rFonts w:ascii="Trebuchet MS" w:hAnsi="Trebuchet MS"/>
        </w:rPr>
        <w:t>1</w:t>
      </w:r>
      <w:r w:rsidRPr="000C7FE1">
        <w:rPr>
          <w:rFonts w:ascii="Trebuchet MS" w:hAnsi="Trebuchet MS"/>
        </w:rPr>
        <w:t xml:space="preserve">-14 Hampton Row, the wider setting of the listed terrace, the Bath conservation area, and the World Heritage Site. </w:t>
      </w:r>
    </w:p>
    <w:p w:rsidR="00050876" w:rsidRPr="000C7FE1" w:rsidRDefault="00050876" w:rsidP="00050876">
      <w:pPr>
        <w:spacing w:line="360" w:lineRule="auto"/>
        <w:rPr>
          <w:rFonts w:ascii="Trebuchet MS" w:hAnsi="Trebuchet MS"/>
        </w:rPr>
      </w:pPr>
      <w:r w:rsidRPr="000C7FE1">
        <w:rPr>
          <w:rFonts w:ascii="Trebuchet MS" w:hAnsi="Trebuchet MS"/>
        </w:rPr>
        <w:t>Works are contrary to section 16 of the NPPF where great weight should be given to the asset’s conservation, irrespective of the level of harm, and any harm should require clear and convincing justification.</w:t>
      </w:r>
    </w:p>
    <w:p w:rsidR="00B05E18" w:rsidRPr="000C7FE1" w:rsidRDefault="00B05E18" w:rsidP="00B05E18">
      <w:pPr>
        <w:spacing w:line="360" w:lineRule="auto"/>
        <w:rPr>
          <w:rFonts w:ascii="Trebuchet MS" w:hAnsi="Trebuchet MS"/>
        </w:rPr>
      </w:pPr>
      <w:r w:rsidRPr="000C7FE1">
        <w:rPr>
          <w:rFonts w:ascii="Trebuchet MS" w:hAnsi="Trebuchet MS"/>
        </w:rPr>
        <w:t xml:space="preserve">The proposals do not comply with the requirements of Policies D1 and D2 to contribute positively and avoid harm to local character and distinctiveness. </w:t>
      </w:r>
    </w:p>
    <w:p w:rsidR="00B05E18" w:rsidRPr="000C7FE1" w:rsidRDefault="00B05E18" w:rsidP="00C10676">
      <w:pPr>
        <w:spacing w:before="240" w:line="360" w:lineRule="auto"/>
        <w:rPr>
          <w:rFonts w:ascii="Trebuchet MS" w:hAnsi="Trebuchet MS"/>
        </w:rPr>
      </w:pPr>
      <w:r w:rsidRPr="000C7FE1">
        <w:rPr>
          <w:rFonts w:ascii="Trebuchet MS" w:hAnsi="Trebuchet MS"/>
        </w:rPr>
        <w:t xml:space="preserve">The proposals do not accord with the guidance in the Bathwick Conservation Area Character Appraisal which identifies the use of inappropriate materials, including reconstituted stone, as one of the key threats to the distinct character and appearance of this character area and the wider conservation area.  </w:t>
      </w:r>
    </w:p>
    <w:p w:rsidR="00C4175A" w:rsidRPr="000C7FE1" w:rsidRDefault="00C4175A" w:rsidP="00050876">
      <w:pPr>
        <w:spacing w:before="240" w:line="360" w:lineRule="auto"/>
        <w:rPr>
          <w:rFonts w:ascii="Trebuchet MS" w:hAnsi="Trebuchet MS"/>
        </w:rPr>
      </w:pPr>
      <w:r w:rsidRPr="000C7FE1">
        <w:rPr>
          <w:rFonts w:ascii="Trebuchet MS" w:hAnsi="Trebuchet MS"/>
        </w:rPr>
        <w:t>The proposals do not comply with Policy HE1 which specifies that great weight will be given to the conservation of heritage</w:t>
      </w:r>
      <w:r w:rsidR="00050876" w:rsidRPr="000C7FE1">
        <w:rPr>
          <w:rFonts w:ascii="Trebuchet MS" w:hAnsi="Trebuchet MS"/>
        </w:rPr>
        <w:t xml:space="preserve"> </w:t>
      </w:r>
      <w:r w:rsidRPr="000C7FE1">
        <w:rPr>
          <w:rFonts w:ascii="Trebuchet MS" w:hAnsi="Trebuchet MS"/>
        </w:rPr>
        <w:t>assets</w:t>
      </w:r>
      <w:r w:rsidR="00050876" w:rsidRPr="000C7FE1">
        <w:rPr>
          <w:rFonts w:ascii="Trebuchet MS" w:hAnsi="Trebuchet MS"/>
        </w:rPr>
        <w:t xml:space="preserve">, unless harm is appropriately outweighed by demonstrated public benefit. </w:t>
      </w:r>
    </w:p>
    <w:p w:rsidR="00B05E18" w:rsidRPr="000C7FE1" w:rsidRDefault="00B05E18" w:rsidP="00B05E18">
      <w:pPr>
        <w:spacing w:before="240" w:line="360" w:lineRule="auto"/>
        <w:rPr>
          <w:rFonts w:ascii="Trebuchet MS" w:hAnsi="Trebuchet MS"/>
        </w:rPr>
      </w:pPr>
      <w:r w:rsidRPr="000C7FE1">
        <w:rPr>
          <w:rFonts w:ascii="Trebuchet MS" w:hAnsi="Trebuchet MS"/>
        </w:rPr>
        <w:t>Policy B4 states that there is a strong presumption against development that would cause harm to the special qualities of the World Heritage Site.</w:t>
      </w:r>
    </w:p>
    <w:p w:rsidR="00C4175A" w:rsidRPr="000C7FE1" w:rsidRDefault="00C4175A" w:rsidP="00C4175A">
      <w:pPr>
        <w:spacing w:before="240" w:line="360" w:lineRule="auto"/>
        <w:rPr>
          <w:rFonts w:ascii="Trebuchet MS" w:hAnsi="Trebuchet MS"/>
        </w:rPr>
      </w:pPr>
      <w:r w:rsidRPr="000C7FE1">
        <w:rPr>
          <w:rFonts w:ascii="Trebuchet MS" w:hAnsi="Trebuchet MS"/>
        </w:rPr>
        <w:t xml:space="preserve">The limited public benefits do not outweigh the cumulative harm to local character and distinctiveness and multiple heritage assets.  </w:t>
      </w:r>
    </w:p>
    <w:p w:rsidR="00D47A6F" w:rsidRPr="000C7FE1" w:rsidRDefault="00D47A6F" w:rsidP="00D47A6F">
      <w:pPr>
        <w:spacing w:before="240" w:line="360" w:lineRule="auto"/>
        <w:rPr>
          <w:rFonts w:ascii="Trebuchet MS" w:hAnsi="Trebuchet MS"/>
        </w:rPr>
      </w:pPr>
      <w:r w:rsidRPr="000C7FE1">
        <w:rPr>
          <w:rFonts w:ascii="Trebuchet MS" w:hAnsi="Trebuchet MS"/>
        </w:rPr>
        <w:t xml:space="preserve">There is unsatisfactory evidence to clearly demonstrate that there was not a breach of condition, and therefore the works remain in contravention of section 9(1) </w:t>
      </w:r>
      <w:r w:rsidR="000C7FE1" w:rsidRPr="000C7FE1">
        <w:rPr>
          <w:rFonts w:ascii="Trebuchet MS" w:hAnsi="Trebuchet MS"/>
        </w:rPr>
        <w:t>and</w:t>
      </w:r>
      <w:r w:rsidRPr="000C7FE1">
        <w:rPr>
          <w:rFonts w:ascii="Trebuchet MS" w:hAnsi="Trebuchet MS"/>
        </w:rPr>
        <w:t xml:space="preserve"> (2) </w:t>
      </w:r>
      <w:r w:rsidR="000C7FE1" w:rsidRPr="000C7FE1">
        <w:rPr>
          <w:rFonts w:ascii="Trebuchet MS" w:hAnsi="Trebuchet MS"/>
        </w:rPr>
        <w:t>of the Pla</w:t>
      </w:r>
      <w:r w:rsidRPr="000C7FE1">
        <w:rPr>
          <w:rFonts w:ascii="Trebuchet MS" w:hAnsi="Trebuchet MS"/>
        </w:rPr>
        <w:t>nning (Listed Buildings and Conservation Areas) Act 1990</w:t>
      </w:r>
    </w:p>
    <w:p w:rsidR="00C4175A" w:rsidRPr="00050876" w:rsidRDefault="00C4175A" w:rsidP="00C4175A">
      <w:pPr>
        <w:spacing w:before="240" w:line="360" w:lineRule="auto"/>
        <w:rPr>
          <w:rFonts w:ascii="Trebuchet MS" w:hAnsi="Trebuchet MS"/>
          <w:b/>
        </w:rPr>
      </w:pPr>
      <w:r w:rsidRPr="00050876">
        <w:rPr>
          <w:rFonts w:ascii="Trebuchet MS" w:hAnsi="Trebuchet MS"/>
          <w:b/>
        </w:rPr>
        <w:lastRenderedPageBreak/>
        <w:t xml:space="preserve">Bath Preservation Trust therefore calls for this appeal to be dismissed. </w:t>
      </w:r>
    </w:p>
    <w:p w:rsidR="00C10676" w:rsidRDefault="00C10676" w:rsidP="00C10676">
      <w:pPr>
        <w:spacing w:before="240" w:line="360" w:lineRule="auto"/>
        <w:rPr>
          <w:rFonts w:ascii="Trebuchet MS" w:hAnsi="Trebuchet MS"/>
          <w:highlight w:val="yellow"/>
        </w:rPr>
      </w:pPr>
    </w:p>
    <w:p w:rsidR="003D2E3E" w:rsidRDefault="003D2E3E"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97413E" w:rsidRDefault="0097413E" w:rsidP="00C10676">
      <w:pPr>
        <w:spacing w:before="240" w:line="360" w:lineRule="auto"/>
        <w:rPr>
          <w:rFonts w:ascii="Trebuchet MS" w:hAnsi="Trebuchet MS"/>
          <w:highlight w:val="yellow"/>
        </w:rPr>
      </w:pPr>
    </w:p>
    <w:p w:rsidR="0097413E" w:rsidRDefault="0097413E" w:rsidP="00C10676">
      <w:pPr>
        <w:spacing w:before="240" w:line="360" w:lineRule="auto"/>
        <w:rPr>
          <w:rFonts w:ascii="Trebuchet MS" w:hAnsi="Trebuchet MS"/>
          <w:highlight w:val="yellow"/>
        </w:rPr>
      </w:pPr>
    </w:p>
    <w:p w:rsidR="0097413E" w:rsidRDefault="0097413E" w:rsidP="00C10676">
      <w:pPr>
        <w:spacing w:before="240" w:line="360" w:lineRule="auto"/>
        <w:rPr>
          <w:rFonts w:ascii="Trebuchet MS" w:hAnsi="Trebuchet MS"/>
          <w:highlight w:val="yellow"/>
        </w:rPr>
      </w:pPr>
    </w:p>
    <w:p w:rsidR="00512B71" w:rsidRDefault="00512B71" w:rsidP="00C10676">
      <w:pPr>
        <w:spacing w:before="240" w:line="360" w:lineRule="auto"/>
        <w:rPr>
          <w:rFonts w:ascii="Trebuchet MS" w:hAnsi="Trebuchet MS"/>
          <w:highlight w:val="yellow"/>
        </w:rPr>
      </w:pPr>
    </w:p>
    <w:p w:rsidR="000D3CB1" w:rsidRPr="000D3CB1" w:rsidRDefault="000D3CB1" w:rsidP="001D392F">
      <w:pPr>
        <w:rPr>
          <w:rFonts w:ascii="Trebuchet MS" w:hAnsi="Trebuchet MS"/>
        </w:rPr>
      </w:pPr>
      <w:bookmarkStart w:id="0" w:name="_GoBack"/>
      <w:bookmarkEnd w:id="0"/>
    </w:p>
    <w:sectPr w:rsidR="000D3CB1" w:rsidRPr="000D3C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72" w:rsidRDefault="00292172" w:rsidP="003F7120">
      <w:pPr>
        <w:spacing w:after="0" w:line="240" w:lineRule="auto"/>
      </w:pPr>
      <w:r>
        <w:separator/>
      </w:r>
    </w:p>
  </w:endnote>
  <w:endnote w:type="continuationSeparator" w:id="0">
    <w:p w:rsidR="00292172" w:rsidRDefault="00292172" w:rsidP="003F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443096"/>
      <w:docPartObj>
        <w:docPartGallery w:val="Page Numbers (Bottom of Page)"/>
        <w:docPartUnique/>
      </w:docPartObj>
    </w:sdtPr>
    <w:sdtEndPr>
      <w:rPr>
        <w:noProof/>
      </w:rPr>
    </w:sdtEndPr>
    <w:sdtContent>
      <w:p w:rsidR="000A011F" w:rsidRDefault="000A011F">
        <w:pPr>
          <w:pStyle w:val="Footer"/>
          <w:jc w:val="right"/>
        </w:pPr>
        <w:r>
          <w:fldChar w:fldCharType="begin"/>
        </w:r>
        <w:r>
          <w:instrText xml:space="preserve"> PAGE   \* MERGEFORMAT </w:instrText>
        </w:r>
        <w:r>
          <w:fldChar w:fldCharType="separate"/>
        </w:r>
        <w:r w:rsidR="001524FE">
          <w:rPr>
            <w:noProof/>
          </w:rPr>
          <w:t>8</w:t>
        </w:r>
        <w:r>
          <w:rPr>
            <w:noProof/>
          </w:rPr>
          <w:fldChar w:fldCharType="end"/>
        </w:r>
      </w:p>
    </w:sdtContent>
  </w:sdt>
  <w:p w:rsidR="000A011F" w:rsidRDefault="000A0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72" w:rsidRDefault="00292172" w:rsidP="003F7120">
      <w:pPr>
        <w:spacing w:after="0" w:line="240" w:lineRule="auto"/>
      </w:pPr>
      <w:r>
        <w:separator/>
      </w:r>
    </w:p>
  </w:footnote>
  <w:footnote w:type="continuationSeparator" w:id="0">
    <w:p w:rsidR="00292172" w:rsidRDefault="00292172" w:rsidP="003F7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536D"/>
    <w:multiLevelType w:val="hybridMultilevel"/>
    <w:tmpl w:val="09EE4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B5FAB"/>
    <w:multiLevelType w:val="hybridMultilevel"/>
    <w:tmpl w:val="168E9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81686"/>
    <w:multiLevelType w:val="hybridMultilevel"/>
    <w:tmpl w:val="09EE4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2F"/>
    <w:rsid w:val="00007C4B"/>
    <w:rsid w:val="00050876"/>
    <w:rsid w:val="000619BF"/>
    <w:rsid w:val="000A011F"/>
    <w:rsid w:val="000C2C05"/>
    <w:rsid w:val="000C39F0"/>
    <w:rsid w:val="000C7FE1"/>
    <w:rsid w:val="000D3CB1"/>
    <w:rsid w:val="000E779F"/>
    <w:rsid w:val="00113625"/>
    <w:rsid w:val="001524FE"/>
    <w:rsid w:val="001A6D3A"/>
    <w:rsid w:val="001B25D7"/>
    <w:rsid w:val="001D392F"/>
    <w:rsid w:val="001E22FC"/>
    <w:rsid w:val="001F3A28"/>
    <w:rsid w:val="001F615B"/>
    <w:rsid w:val="0022544F"/>
    <w:rsid w:val="00233E77"/>
    <w:rsid w:val="0024400F"/>
    <w:rsid w:val="00262F33"/>
    <w:rsid w:val="00292172"/>
    <w:rsid w:val="002959DA"/>
    <w:rsid w:val="002B7A34"/>
    <w:rsid w:val="00394C49"/>
    <w:rsid w:val="003C792B"/>
    <w:rsid w:val="003D2E3E"/>
    <w:rsid w:val="003F7120"/>
    <w:rsid w:val="004030F4"/>
    <w:rsid w:val="00412EC9"/>
    <w:rsid w:val="00461EC6"/>
    <w:rsid w:val="004B25AF"/>
    <w:rsid w:val="004B683F"/>
    <w:rsid w:val="004F1346"/>
    <w:rsid w:val="004F3A9A"/>
    <w:rsid w:val="005068B1"/>
    <w:rsid w:val="00512B71"/>
    <w:rsid w:val="00516B23"/>
    <w:rsid w:val="00543A32"/>
    <w:rsid w:val="0054538A"/>
    <w:rsid w:val="00550ABC"/>
    <w:rsid w:val="00566051"/>
    <w:rsid w:val="00587416"/>
    <w:rsid w:val="005967E0"/>
    <w:rsid w:val="00596C1C"/>
    <w:rsid w:val="005B34AE"/>
    <w:rsid w:val="005C1503"/>
    <w:rsid w:val="00624F65"/>
    <w:rsid w:val="0066238A"/>
    <w:rsid w:val="006A669B"/>
    <w:rsid w:val="006C387C"/>
    <w:rsid w:val="006D44DE"/>
    <w:rsid w:val="006D78E6"/>
    <w:rsid w:val="006F26A7"/>
    <w:rsid w:val="006F77E2"/>
    <w:rsid w:val="00736C5D"/>
    <w:rsid w:val="00764B0B"/>
    <w:rsid w:val="00785996"/>
    <w:rsid w:val="007A47E2"/>
    <w:rsid w:val="007A7F44"/>
    <w:rsid w:val="007B79E6"/>
    <w:rsid w:val="00820AEB"/>
    <w:rsid w:val="00862848"/>
    <w:rsid w:val="00876FA0"/>
    <w:rsid w:val="008873BB"/>
    <w:rsid w:val="008A01B8"/>
    <w:rsid w:val="008C7FCA"/>
    <w:rsid w:val="008E1A47"/>
    <w:rsid w:val="008F7CCF"/>
    <w:rsid w:val="00941EA2"/>
    <w:rsid w:val="009445C4"/>
    <w:rsid w:val="00957C28"/>
    <w:rsid w:val="00964B65"/>
    <w:rsid w:val="0097413E"/>
    <w:rsid w:val="009917A9"/>
    <w:rsid w:val="009C619E"/>
    <w:rsid w:val="009F13CA"/>
    <w:rsid w:val="00A0182B"/>
    <w:rsid w:val="00A077BE"/>
    <w:rsid w:val="00A12303"/>
    <w:rsid w:val="00A208D2"/>
    <w:rsid w:val="00A906C0"/>
    <w:rsid w:val="00A9169B"/>
    <w:rsid w:val="00AD5791"/>
    <w:rsid w:val="00AE6085"/>
    <w:rsid w:val="00AF732C"/>
    <w:rsid w:val="00B05DE4"/>
    <w:rsid w:val="00B05E18"/>
    <w:rsid w:val="00B40FD4"/>
    <w:rsid w:val="00B51DE3"/>
    <w:rsid w:val="00B63332"/>
    <w:rsid w:val="00B66BEB"/>
    <w:rsid w:val="00B87655"/>
    <w:rsid w:val="00B966C2"/>
    <w:rsid w:val="00BF0FF3"/>
    <w:rsid w:val="00BF36F6"/>
    <w:rsid w:val="00BF7C34"/>
    <w:rsid w:val="00C10676"/>
    <w:rsid w:val="00C4175A"/>
    <w:rsid w:val="00C42DDF"/>
    <w:rsid w:val="00C82AB1"/>
    <w:rsid w:val="00C96668"/>
    <w:rsid w:val="00CA24E6"/>
    <w:rsid w:val="00CC7465"/>
    <w:rsid w:val="00CE0ABA"/>
    <w:rsid w:val="00CE1C79"/>
    <w:rsid w:val="00CF2DE8"/>
    <w:rsid w:val="00CF53B4"/>
    <w:rsid w:val="00CF7549"/>
    <w:rsid w:val="00D47A6F"/>
    <w:rsid w:val="00D944D0"/>
    <w:rsid w:val="00DC226B"/>
    <w:rsid w:val="00DE0053"/>
    <w:rsid w:val="00E01D26"/>
    <w:rsid w:val="00E414EC"/>
    <w:rsid w:val="00EB1BF2"/>
    <w:rsid w:val="00EC1108"/>
    <w:rsid w:val="00F10907"/>
    <w:rsid w:val="00F26B6D"/>
    <w:rsid w:val="00F539EE"/>
    <w:rsid w:val="00F568D5"/>
    <w:rsid w:val="00F86AFD"/>
    <w:rsid w:val="00FA55E1"/>
    <w:rsid w:val="00FB39FA"/>
    <w:rsid w:val="00FD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A28E8-1497-40BC-9734-570F5BC9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34"/>
    <w:pPr>
      <w:ind w:left="720"/>
      <w:contextualSpacing/>
    </w:pPr>
  </w:style>
  <w:style w:type="paragraph" w:styleId="Header">
    <w:name w:val="header"/>
    <w:basedOn w:val="Normal"/>
    <w:link w:val="HeaderChar"/>
    <w:uiPriority w:val="99"/>
    <w:unhideWhenUsed/>
    <w:rsid w:val="003F7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120"/>
  </w:style>
  <w:style w:type="paragraph" w:styleId="Footer">
    <w:name w:val="footer"/>
    <w:basedOn w:val="Normal"/>
    <w:link w:val="FooterChar"/>
    <w:uiPriority w:val="99"/>
    <w:unhideWhenUsed/>
    <w:rsid w:val="003F7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120"/>
  </w:style>
  <w:style w:type="character" w:styleId="Hyperlink">
    <w:name w:val="Hyperlink"/>
    <w:basedOn w:val="DefaultParagraphFont"/>
    <w:uiPriority w:val="99"/>
    <w:unhideWhenUsed/>
    <w:rsid w:val="000D3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FF5D-8C16-4997-81F1-2BB7D8DB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108</cp:revision>
  <dcterms:created xsi:type="dcterms:W3CDTF">2022-01-14T16:39:00Z</dcterms:created>
  <dcterms:modified xsi:type="dcterms:W3CDTF">2022-01-18T17:56:00Z</dcterms:modified>
</cp:coreProperties>
</file>