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72" w:rsidRDefault="00A914E6">
      <w:pPr>
        <w:rPr>
          <w:rFonts w:ascii="Trebuchet MS" w:hAnsi="Trebuchet MS"/>
          <w:b/>
          <w:sz w:val="22"/>
          <w:szCs w:val="22"/>
        </w:rPr>
      </w:pPr>
      <w:r>
        <w:rPr>
          <w:rFonts w:ascii="Trebuchet MS" w:hAnsi="Trebuchet MS"/>
          <w:b/>
          <w:noProof/>
          <w:sz w:val="22"/>
          <w:szCs w:val="22"/>
          <w:lang w:eastAsia="en-GB"/>
        </w:rPr>
        <mc:AlternateContent>
          <mc:Choice Requires="wps">
            <w:drawing>
              <wp:anchor distT="0" distB="0" distL="0" distR="0" simplePos="0" relativeHeight="2" behindDoc="1" locked="0" layoutInCell="1" allowOverlap="1">
                <wp:simplePos x="0" y="0"/>
                <wp:positionH relativeFrom="column">
                  <wp:posOffset>-389890</wp:posOffset>
                </wp:positionH>
                <wp:positionV relativeFrom="paragraph">
                  <wp:posOffset>1905</wp:posOffset>
                </wp:positionV>
                <wp:extent cx="2876550" cy="9194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a:xfrm>
                          <a:off x="0" y="0"/>
                          <a:ext cx="2876040" cy="918720"/>
                        </a:xfrm>
                        <a:prstGeom prst="rect">
                          <a:avLst/>
                        </a:prstGeom>
                        <a:ln>
                          <a:noFill/>
                        </a:ln>
                      </pic:spPr>
                    </pic:pic>
                  </a:graphicData>
                </a:graphic>
              </wp:anchor>
            </w:drawing>
          </mc:Choice>
          <mc:Fallback>
            <w:pict>
              <v:rect id="shape_0" stroked="f" style="position:absolute;margin-left:-30.7pt;margin-top:0.15pt;width:226.4pt;height:72.3pt">
                <v:imagedata r:id="rId8" o:detectmouseclick="t"/>
                <w10:wrap type="none"/>
                <v:stroke color="#3465a4" joinstyle="round" endcap="flat"/>
              </v:rect>
            </w:pict>
          </mc:Fallback>
        </mc:AlternateContent>
      </w:r>
    </w:p>
    <w:p w:rsidR="00ED2E72" w:rsidRDefault="00ED2E72">
      <w:pPr>
        <w:rPr>
          <w:rFonts w:ascii="Trebuchet MS" w:hAnsi="Trebuchet MS"/>
          <w:b/>
          <w:sz w:val="22"/>
          <w:szCs w:val="22"/>
        </w:rPr>
      </w:pPr>
    </w:p>
    <w:p w:rsidR="00ED2E72" w:rsidRDefault="00ED2E72">
      <w:pPr>
        <w:rPr>
          <w:rFonts w:ascii="Trebuchet MS" w:hAnsi="Trebuchet MS"/>
          <w:b/>
          <w:sz w:val="22"/>
          <w:szCs w:val="22"/>
        </w:rPr>
      </w:pPr>
    </w:p>
    <w:p w:rsidR="00ED2E72" w:rsidRDefault="00ED2E72">
      <w:pPr>
        <w:rPr>
          <w:rFonts w:ascii="Trebuchet MS" w:hAnsi="Trebuchet MS"/>
          <w:b/>
          <w:sz w:val="22"/>
          <w:szCs w:val="22"/>
        </w:rPr>
      </w:pPr>
    </w:p>
    <w:p w:rsidR="00ED2E72" w:rsidRDefault="00A914E6">
      <w:pPr>
        <w:jc w:val="center"/>
        <w:rPr>
          <w:rFonts w:ascii="Trebuchet MS" w:hAnsi="Trebuchet MS"/>
          <w:b/>
          <w:sz w:val="22"/>
          <w:szCs w:val="22"/>
        </w:rPr>
      </w:pPr>
      <w:r>
        <w:rPr>
          <w:rFonts w:ascii="Trebuchet MS" w:hAnsi="Trebuchet MS"/>
          <w:b/>
          <w:sz w:val="22"/>
          <w:szCs w:val="22"/>
        </w:rPr>
        <w:t>Appeal Representation</w:t>
      </w:r>
    </w:p>
    <w:p w:rsidR="00ED2E72" w:rsidRDefault="00A914E6">
      <w:pPr>
        <w:jc w:val="center"/>
        <w:rPr>
          <w:rFonts w:ascii="Trebuchet MS" w:hAnsi="Trebuchet MS"/>
          <w:b/>
          <w:sz w:val="22"/>
          <w:szCs w:val="22"/>
        </w:rPr>
      </w:pPr>
      <w:r>
        <w:rPr>
          <w:rFonts w:ascii="Trebuchet MS" w:hAnsi="Trebuchet MS"/>
          <w:b/>
          <w:sz w:val="22"/>
          <w:szCs w:val="22"/>
        </w:rPr>
        <w:t>19/00786/FUL</w:t>
      </w:r>
    </w:p>
    <w:p w:rsidR="00ED2E72" w:rsidRDefault="00A914E6">
      <w:pPr>
        <w:jc w:val="center"/>
        <w:rPr>
          <w:rFonts w:ascii="Trebuchet MS" w:hAnsi="Trebuchet MS"/>
          <w:b/>
          <w:sz w:val="22"/>
          <w:szCs w:val="22"/>
        </w:rPr>
      </w:pPr>
      <w:r>
        <w:rPr>
          <w:rFonts w:ascii="Trebuchet MS" w:hAnsi="Trebuchet MS"/>
          <w:b/>
          <w:sz w:val="22"/>
          <w:szCs w:val="22"/>
        </w:rPr>
        <w:t>Field Between City Farm And Cotswold View</w:t>
      </w:r>
    </w:p>
    <w:p w:rsidR="00ED2E72" w:rsidRDefault="00A914E6">
      <w:pPr>
        <w:rPr>
          <w:rFonts w:ascii="Trebuchet MS" w:hAnsi="Trebuchet MS"/>
          <w:b/>
          <w:sz w:val="22"/>
          <w:szCs w:val="22"/>
        </w:rPr>
      </w:pPr>
      <w:r>
        <w:rPr>
          <w:rFonts w:ascii="Trebuchet MS" w:hAnsi="Trebuchet MS"/>
          <w:b/>
          <w:sz w:val="22"/>
          <w:szCs w:val="22"/>
        </w:rPr>
        <w:t>Introduction</w:t>
      </w:r>
    </w:p>
    <w:p w:rsidR="00ED2E72" w:rsidRDefault="00A914E6">
      <w:pPr>
        <w:rPr>
          <w:rFonts w:ascii="Trebuchet MS" w:hAnsi="Trebuchet MS"/>
          <w:sz w:val="22"/>
          <w:szCs w:val="22"/>
        </w:rPr>
      </w:pPr>
      <w:r>
        <w:rPr>
          <w:rFonts w:ascii="Trebuchet MS" w:hAnsi="Trebuchet MS"/>
          <w:sz w:val="22"/>
          <w:szCs w:val="22"/>
        </w:rPr>
        <w:t>The Bath Preservation Trust has existed since 1934 to protect and preserve Bath’s historic environment and its green landscape setting. We have previously objected to a larger-scale plan for the development of twenty residential dwellings on this important</w:t>
      </w:r>
      <w:r>
        <w:rPr>
          <w:rFonts w:ascii="Trebuchet MS" w:hAnsi="Trebuchet MS"/>
          <w:sz w:val="22"/>
          <w:szCs w:val="22"/>
        </w:rPr>
        <w:t xml:space="preserve"> open hillside (see application 15/02807/FUL), and further objected to the current proposal for the development of nine dwellings on the site (see application 19/00786/FUL). </w:t>
      </w:r>
    </w:p>
    <w:p w:rsidR="00ED2E72" w:rsidRDefault="00A914E6">
      <w:r>
        <w:rPr>
          <w:rFonts w:ascii="Trebuchet MS" w:hAnsi="Trebuchet MS"/>
          <w:sz w:val="22"/>
          <w:szCs w:val="22"/>
        </w:rPr>
        <w:t xml:space="preserve">As the Inspector will be aware, this </w:t>
      </w:r>
      <w:r w:rsidRPr="006D041A">
        <w:rPr>
          <w:rFonts w:ascii="Trebuchet MS" w:hAnsi="Trebuchet MS"/>
          <w:sz w:val="22"/>
          <w:szCs w:val="22"/>
        </w:rPr>
        <w:t xml:space="preserve">application </w:t>
      </w:r>
      <w:r w:rsidR="006D041A" w:rsidRPr="006D041A">
        <w:rPr>
          <w:rFonts w:ascii="Trebuchet MS" w:hAnsi="Trebuchet MS"/>
          <w:sz w:val="22"/>
          <w:szCs w:val="22"/>
        </w:rPr>
        <w:t>propose</w:t>
      </w:r>
      <w:r w:rsidRPr="006D041A">
        <w:rPr>
          <w:rFonts w:ascii="Trebuchet MS" w:hAnsi="Trebuchet MS"/>
          <w:sz w:val="22"/>
          <w:szCs w:val="22"/>
        </w:rPr>
        <w:t>s</w:t>
      </w:r>
      <w:r w:rsidRPr="006D041A">
        <w:rPr>
          <w:rFonts w:ascii="Trebuchet MS" w:hAnsi="Trebuchet MS"/>
          <w:sz w:val="22"/>
          <w:szCs w:val="22"/>
        </w:rPr>
        <w:t xml:space="preserve"> the erection </w:t>
      </w:r>
      <w:r>
        <w:rPr>
          <w:rFonts w:ascii="Trebuchet MS" w:hAnsi="Trebuchet MS"/>
          <w:sz w:val="22"/>
          <w:szCs w:val="22"/>
        </w:rPr>
        <w:t>of nine t</w:t>
      </w:r>
      <w:r>
        <w:rPr>
          <w:rFonts w:ascii="Trebuchet MS" w:hAnsi="Trebuchet MS"/>
          <w:sz w:val="22"/>
          <w:szCs w:val="22"/>
        </w:rPr>
        <w:t xml:space="preserve">hree-bedroom two-storey dwellings along the south-easterly boundary of the site facing onto the Hollow, directly adjacent to the existing Bath City Farm building. The site currently forms part of the green indicative context of the Bath conservation area, </w:t>
      </w:r>
      <w:r>
        <w:rPr>
          <w:rFonts w:ascii="Trebuchet MS" w:hAnsi="Trebuchet MS"/>
          <w:sz w:val="22"/>
          <w:szCs w:val="22"/>
        </w:rPr>
        <w:t xml:space="preserve">and is noted as an important “green hillside forming prominent features of the landscape setting” of the WHS within the 2013 City of Bath World Heritage Site Setting SPD [2013 WHS SPD]. The site is additionally included as part of the Bath City Farm SNCI, </w:t>
      </w:r>
      <w:r>
        <w:rPr>
          <w:rFonts w:ascii="Trebuchet MS" w:hAnsi="Trebuchet MS"/>
          <w:sz w:val="22"/>
          <w:szCs w:val="22"/>
        </w:rPr>
        <w:t xml:space="preserve">of which notable sections of the hillside have been excluded such as Freeview Road, Innox Park, and the Bath City Farm main building, due to both built development and associated domestic boundary treatments and usages of the land. </w:t>
      </w:r>
    </w:p>
    <w:p w:rsidR="00ED2E72" w:rsidRDefault="00A914E6">
      <w:pPr>
        <w:rPr>
          <w:rFonts w:ascii="Trebuchet MS" w:hAnsi="Trebuchet MS"/>
          <w:sz w:val="22"/>
          <w:szCs w:val="22"/>
        </w:rPr>
      </w:pPr>
      <w:r>
        <w:rPr>
          <w:rFonts w:ascii="Trebuchet MS" w:hAnsi="Trebuchet MS"/>
          <w:sz w:val="22"/>
          <w:szCs w:val="22"/>
        </w:rPr>
        <w:t>The Trust wishes to sta</w:t>
      </w:r>
      <w:r>
        <w:rPr>
          <w:rFonts w:ascii="Trebuchet MS" w:hAnsi="Trebuchet MS"/>
          <w:sz w:val="22"/>
          <w:szCs w:val="22"/>
        </w:rPr>
        <w:t xml:space="preserve">te the case for the dismissal of this appeal in the strongest possible terms. </w:t>
      </w:r>
    </w:p>
    <w:p w:rsidR="00ED2E72" w:rsidRDefault="00A914E6">
      <w:pPr>
        <w:rPr>
          <w:rFonts w:ascii="Trebuchet MS" w:hAnsi="Trebuchet MS"/>
          <w:b/>
          <w:sz w:val="22"/>
          <w:szCs w:val="22"/>
        </w:rPr>
      </w:pPr>
      <w:r>
        <w:rPr>
          <w:rFonts w:ascii="Trebuchet MS" w:hAnsi="Trebuchet MS"/>
          <w:b/>
          <w:sz w:val="22"/>
          <w:szCs w:val="22"/>
        </w:rPr>
        <w:t>The Trust’s response is based on the following assertions:</w:t>
      </w:r>
    </w:p>
    <w:p w:rsidR="00ED2E72" w:rsidRDefault="006D041A">
      <w:pPr>
        <w:pStyle w:val="ListParagraph"/>
        <w:numPr>
          <w:ilvl w:val="0"/>
          <w:numId w:val="1"/>
        </w:numPr>
        <w:rPr>
          <w:rFonts w:ascii="Trebuchet MS" w:hAnsi="Trebuchet MS"/>
          <w:sz w:val="22"/>
          <w:szCs w:val="22"/>
        </w:rPr>
      </w:pPr>
      <w:r>
        <w:rPr>
          <w:rFonts w:ascii="Trebuchet MS" w:hAnsi="Trebuchet MS"/>
          <w:sz w:val="22"/>
          <w:szCs w:val="22"/>
        </w:rPr>
        <w:t xml:space="preserve">That the proposed </w:t>
      </w:r>
      <w:r w:rsidRPr="006D041A">
        <w:rPr>
          <w:rFonts w:ascii="Trebuchet MS" w:hAnsi="Trebuchet MS"/>
          <w:sz w:val="22"/>
          <w:szCs w:val="22"/>
        </w:rPr>
        <w:t xml:space="preserve">development </w:t>
      </w:r>
      <w:r w:rsidR="00A914E6" w:rsidRPr="006D041A">
        <w:rPr>
          <w:rFonts w:ascii="Trebuchet MS" w:hAnsi="Trebuchet MS"/>
          <w:sz w:val="22"/>
          <w:szCs w:val="22"/>
        </w:rPr>
        <w:t>would</w:t>
      </w:r>
      <w:r w:rsidR="00A914E6" w:rsidRPr="006D041A">
        <w:rPr>
          <w:rFonts w:ascii="Trebuchet MS" w:hAnsi="Trebuchet MS"/>
          <w:sz w:val="22"/>
          <w:szCs w:val="22"/>
        </w:rPr>
        <w:t xml:space="preserve"> be </w:t>
      </w:r>
      <w:r w:rsidR="00A914E6">
        <w:rPr>
          <w:rFonts w:ascii="Trebuchet MS" w:hAnsi="Trebuchet MS"/>
          <w:sz w:val="22"/>
          <w:szCs w:val="22"/>
        </w:rPr>
        <w:t>of direct detriment to the maintained significance of the hillside as a re</w:t>
      </w:r>
      <w:r w:rsidR="00A914E6">
        <w:rPr>
          <w:rFonts w:ascii="Trebuchet MS" w:hAnsi="Trebuchet MS"/>
          <w:sz w:val="22"/>
          <w:szCs w:val="22"/>
        </w:rPr>
        <w:t xml:space="preserve">cognised important hillside within the undeveloped landscape setting of the WHS. </w:t>
      </w:r>
    </w:p>
    <w:p w:rsidR="00ED2E72" w:rsidRDefault="00A914E6">
      <w:pPr>
        <w:pStyle w:val="ListParagraph"/>
        <w:numPr>
          <w:ilvl w:val="0"/>
          <w:numId w:val="1"/>
        </w:numPr>
        <w:rPr>
          <w:rFonts w:ascii="Trebuchet MS" w:hAnsi="Trebuchet MS"/>
          <w:sz w:val="22"/>
          <w:szCs w:val="22"/>
        </w:rPr>
      </w:pPr>
      <w:r>
        <w:rPr>
          <w:rFonts w:ascii="Trebuchet MS" w:hAnsi="Trebuchet MS"/>
          <w:sz w:val="22"/>
          <w:szCs w:val="22"/>
        </w:rPr>
        <w:t>That this application would establish a precedent for construction, not only across the entirety of the land parcel as outlined, but the Bath City Farm hillside as a whole, w</w:t>
      </w:r>
      <w:r>
        <w:rPr>
          <w:rFonts w:ascii="Trebuchet MS" w:hAnsi="Trebuchet MS"/>
          <w:sz w:val="22"/>
          <w:szCs w:val="22"/>
        </w:rPr>
        <w:t>hich would result in the gradual, developmental erosion of a site of aesthetic and ecological significance within Bath.</w:t>
      </w:r>
    </w:p>
    <w:p w:rsidR="00ED2E72" w:rsidRDefault="00A914E6">
      <w:pPr>
        <w:pStyle w:val="ListParagraph"/>
        <w:numPr>
          <w:ilvl w:val="0"/>
          <w:numId w:val="1"/>
        </w:numPr>
        <w:rPr>
          <w:rFonts w:ascii="Trebuchet MS" w:hAnsi="Trebuchet MS"/>
          <w:sz w:val="22"/>
          <w:szCs w:val="22"/>
        </w:rPr>
      </w:pPr>
      <w:r>
        <w:rPr>
          <w:rFonts w:ascii="Trebuchet MS" w:hAnsi="Trebuchet MS"/>
          <w:sz w:val="22"/>
          <w:szCs w:val="22"/>
        </w:rPr>
        <w:t>That the proposed design fails to reflect and conform to local townscape character due to its form, scale, and use of materials, and wou</w:t>
      </w:r>
      <w:r>
        <w:rPr>
          <w:rFonts w:ascii="Trebuchet MS" w:hAnsi="Trebuchet MS"/>
          <w:sz w:val="22"/>
          <w:szCs w:val="22"/>
        </w:rPr>
        <w:t xml:space="preserve">ld be an incongruous addition to the housing type prevalent along the Hollow. </w:t>
      </w:r>
    </w:p>
    <w:p w:rsidR="00ED2E72" w:rsidRDefault="00A914E6">
      <w:pPr>
        <w:rPr>
          <w:rFonts w:ascii="Trebuchet MS" w:hAnsi="Trebuchet MS"/>
          <w:sz w:val="22"/>
          <w:szCs w:val="22"/>
        </w:rPr>
      </w:pPr>
      <w:r>
        <w:rPr>
          <w:rFonts w:ascii="Trebuchet MS" w:hAnsi="Trebuchet MS"/>
          <w:sz w:val="22"/>
          <w:szCs w:val="22"/>
        </w:rPr>
        <w:t>We therefore refute the statements made by CSJ Planning Consultants and assert that this appeal should be dismissed</w:t>
      </w:r>
      <w:r>
        <w:rPr>
          <w:rFonts w:ascii="Trebuchet MS" w:hAnsi="Trebuchet MS"/>
          <w:sz w:val="22"/>
          <w:szCs w:val="22"/>
        </w:rPr>
        <w:t xml:space="preserve">. </w:t>
      </w:r>
    </w:p>
    <w:p w:rsidR="00ED2E72" w:rsidRDefault="00A914E6">
      <w:pPr>
        <w:rPr>
          <w:rFonts w:ascii="Trebuchet MS" w:hAnsi="Trebuchet MS"/>
          <w:b/>
          <w:sz w:val="22"/>
          <w:szCs w:val="22"/>
        </w:rPr>
      </w:pPr>
      <w:r>
        <w:rPr>
          <w:rFonts w:ascii="Trebuchet MS" w:hAnsi="Trebuchet MS"/>
          <w:b/>
          <w:sz w:val="22"/>
          <w:szCs w:val="22"/>
        </w:rPr>
        <w:lastRenderedPageBreak/>
        <w:t>The Significance of the Site</w:t>
      </w:r>
    </w:p>
    <w:p w:rsidR="00ED2E72" w:rsidRDefault="006D041A">
      <w:r>
        <w:rPr>
          <w:rFonts w:ascii="Trebuchet MS" w:hAnsi="Trebuchet MS"/>
          <w:sz w:val="22"/>
          <w:szCs w:val="22"/>
        </w:rPr>
        <w:t xml:space="preserve">The site forms </w:t>
      </w:r>
      <w:r w:rsidR="00A914E6">
        <w:rPr>
          <w:rFonts w:ascii="Trebuchet MS" w:hAnsi="Trebuchet MS"/>
          <w:sz w:val="22"/>
          <w:szCs w:val="22"/>
        </w:rPr>
        <w:t xml:space="preserve">part </w:t>
      </w:r>
      <w:r w:rsidR="00A914E6" w:rsidRPr="006D041A">
        <w:rPr>
          <w:rFonts w:ascii="Trebuchet MS" w:hAnsi="Trebuchet MS"/>
          <w:sz w:val="22"/>
          <w:szCs w:val="22"/>
        </w:rPr>
        <w:t>of the s</w:t>
      </w:r>
      <w:r w:rsidR="00A914E6" w:rsidRPr="006D041A">
        <w:rPr>
          <w:rFonts w:ascii="Trebuchet MS" w:hAnsi="Trebuchet MS"/>
          <w:sz w:val="22"/>
          <w:szCs w:val="22"/>
        </w:rPr>
        <w:t>outh easterly corner</w:t>
      </w:r>
      <w:r w:rsidR="00A914E6" w:rsidRPr="006D041A">
        <w:rPr>
          <w:rFonts w:ascii="Trebuchet MS" w:hAnsi="Trebuchet MS"/>
          <w:sz w:val="22"/>
          <w:szCs w:val="22"/>
        </w:rPr>
        <w:t xml:space="preserve"> </w:t>
      </w:r>
      <w:r w:rsidR="00A914E6" w:rsidRPr="006D041A">
        <w:rPr>
          <w:rFonts w:ascii="Trebuchet MS" w:hAnsi="Trebuchet MS"/>
          <w:sz w:val="22"/>
          <w:szCs w:val="22"/>
        </w:rPr>
        <w:t xml:space="preserve">of the open </w:t>
      </w:r>
      <w:r w:rsidR="00A914E6">
        <w:rPr>
          <w:rFonts w:ascii="Trebuchet MS" w:hAnsi="Trebuchet MS"/>
          <w:sz w:val="22"/>
          <w:szCs w:val="22"/>
        </w:rPr>
        <w:t xml:space="preserve">hillside associated with Bath City </w:t>
      </w:r>
      <w:r w:rsidR="00A914E6" w:rsidRPr="006D041A">
        <w:rPr>
          <w:rFonts w:ascii="Trebuchet MS" w:hAnsi="Trebuchet MS"/>
          <w:sz w:val="22"/>
          <w:szCs w:val="22"/>
        </w:rPr>
        <w:t xml:space="preserve">Farm. </w:t>
      </w:r>
      <w:r w:rsidR="00A914E6" w:rsidRPr="006D041A">
        <w:rPr>
          <w:rFonts w:ascii="Trebuchet MS" w:hAnsi="Trebuchet MS"/>
          <w:sz w:val="22"/>
          <w:szCs w:val="22"/>
        </w:rPr>
        <w:t>This</w:t>
      </w:r>
      <w:r w:rsidR="00A914E6" w:rsidRPr="006D041A">
        <w:rPr>
          <w:rFonts w:ascii="Trebuchet MS" w:hAnsi="Trebuchet MS"/>
          <w:sz w:val="22"/>
          <w:szCs w:val="22"/>
        </w:rPr>
        <w:t xml:space="preserve"> is no</w:t>
      </w:r>
      <w:r w:rsidR="00A914E6">
        <w:rPr>
          <w:rFonts w:ascii="Trebuchet MS" w:hAnsi="Trebuchet MS"/>
          <w:sz w:val="22"/>
          <w:szCs w:val="22"/>
        </w:rPr>
        <w:t>ted as an important hillside in the WHS</w:t>
      </w:r>
      <w:r w:rsidR="00A914E6">
        <w:t xml:space="preserve"> </w:t>
      </w:r>
      <w:r>
        <w:rPr>
          <w:rFonts w:ascii="Trebuchet MS" w:hAnsi="Trebuchet MS"/>
          <w:sz w:val="22"/>
          <w:szCs w:val="22"/>
        </w:rPr>
        <w:t xml:space="preserve">within the 2013 WHS SPD, </w:t>
      </w:r>
      <w:r w:rsidR="00A914E6" w:rsidRPr="006D041A">
        <w:rPr>
          <w:rFonts w:ascii="Trebuchet MS" w:hAnsi="Trebuchet MS"/>
          <w:sz w:val="22"/>
          <w:szCs w:val="22"/>
        </w:rPr>
        <w:t>punctuating</w:t>
      </w:r>
      <w:r w:rsidR="00A914E6" w:rsidRPr="006D041A">
        <w:rPr>
          <w:rFonts w:ascii="Trebuchet MS" w:hAnsi="Trebuchet MS"/>
          <w:sz w:val="22"/>
          <w:szCs w:val="22"/>
        </w:rPr>
        <w:t xml:space="preserve"> the otherwise</w:t>
      </w:r>
      <w:r w:rsidR="00A914E6">
        <w:rPr>
          <w:rFonts w:ascii="Trebuchet MS" w:hAnsi="Trebuchet MS"/>
          <w:sz w:val="22"/>
          <w:szCs w:val="22"/>
        </w:rPr>
        <w:t xml:space="preserve">-dense residential development to the south of Bath. 37 acres of the overall hillside area remains agriculturally functional as part of the Bath City Farm, which in </w:t>
      </w:r>
      <w:r w:rsidR="00A914E6" w:rsidRPr="006D041A">
        <w:rPr>
          <w:rFonts w:ascii="Trebuchet MS" w:hAnsi="Trebuchet MS"/>
          <w:sz w:val="22"/>
          <w:szCs w:val="22"/>
        </w:rPr>
        <w:t xml:space="preserve">accordance </w:t>
      </w:r>
      <w:r w:rsidR="00A914E6" w:rsidRPr="006D041A">
        <w:rPr>
          <w:rFonts w:ascii="Trebuchet MS" w:hAnsi="Trebuchet MS"/>
          <w:sz w:val="22"/>
          <w:szCs w:val="22"/>
        </w:rPr>
        <w:t xml:space="preserve">with </w:t>
      </w:r>
      <w:r w:rsidR="00A914E6" w:rsidRPr="006D041A">
        <w:rPr>
          <w:rFonts w:ascii="Trebuchet MS" w:hAnsi="Trebuchet MS"/>
          <w:sz w:val="22"/>
          <w:szCs w:val="22"/>
        </w:rPr>
        <w:t xml:space="preserve">paragraph </w:t>
      </w:r>
      <w:r w:rsidR="00A914E6">
        <w:rPr>
          <w:rFonts w:ascii="Trebuchet MS" w:hAnsi="Trebuchet MS"/>
          <w:sz w:val="22"/>
          <w:szCs w:val="22"/>
        </w:rPr>
        <w:t>5.21 of the 2013 WHS SPD means that “landscape h</w:t>
      </w:r>
      <w:r w:rsidR="00A914E6">
        <w:rPr>
          <w:rFonts w:ascii="Trebuchet MS" w:hAnsi="Trebuchet MS"/>
          <w:sz w:val="22"/>
          <w:szCs w:val="22"/>
        </w:rPr>
        <w:t>as heightened significance where it retains a land-use or character that is broadly the same as the contemporary historic uses and  character associated with the OUV.” Whilst the parcel of land proposed for development is situated just outside</w:t>
      </w:r>
      <w:r w:rsidR="00A914E6">
        <w:rPr>
          <w:rFonts w:ascii="Trebuchet MS" w:hAnsi="Trebuchet MS"/>
          <w:sz w:val="22"/>
          <w:szCs w:val="22"/>
        </w:rPr>
        <w:t xml:space="preserve"> the conse</w:t>
      </w:r>
      <w:r w:rsidR="00A914E6">
        <w:rPr>
          <w:rFonts w:ascii="Trebuchet MS" w:hAnsi="Trebuchet MS"/>
          <w:sz w:val="22"/>
          <w:szCs w:val="22"/>
        </w:rPr>
        <w:t xml:space="preserve">rvation area boundary, the sloped hillside in the Twerton village character area is regarded as a “significant open space” within </w:t>
      </w:r>
      <w:r w:rsidR="00A914E6" w:rsidRPr="006D041A">
        <w:rPr>
          <w:rFonts w:ascii="Trebuchet MS" w:hAnsi="Trebuchet MS"/>
          <w:sz w:val="22"/>
          <w:szCs w:val="22"/>
        </w:rPr>
        <w:t>the CAA</w:t>
      </w:r>
      <w:r w:rsidR="00A914E6" w:rsidRPr="006D041A">
        <w:rPr>
          <w:rFonts w:ascii="Trebuchet MS" w:hAnsi="Trebuchet MS"/>
          <w:sz w:val="22"/>
          <w:szCs w:val="22"/>
        </w:rPr>
        <w:t xml:space="preserve">. It </w:t>
      </w:r>
      <w:r w:rsidR="00A914E6" w:rsidRPr="006D041A">
        <w:rPr>
          <w:rFonts w:ascii="Trebuchet MS" w:hAnsi="Trebuchet MS"/>
          <w:sz w:val="22"/>
          <w:szCs w:val="22"/>
        </w:rPr>
        <w:t>remains</w:t>
      </w:r>
      <w:r w:rsidR="00A914E6" w:rsidRPr="006D041A">
        <w:rPr>
          <w:rFonts w:ascii="Trebuchet MS" w:hAnsi="Trebuchet MS"/>
          <w:sz w:val="22"/>
          <w:szCs w:val="22"/>
        </w:rPr>
        <w:t xml:space="preserve"> </w:t>
      </w:r>
      <w:r w:rsidR="00A914E6">
        <w:rPr>
          <w:rFonts w:ascii="Trebuchet MS" w:hAnsi="Trebuchet MS"/>
          <w:sz w:val="22"/>
          <w:szCs w:val="22"/>
        </w:rPr>
        <w:t xml:space="preserve">visually connected with significant views across the city and the </w:t>
      </w:r>
      <w:r w:rsidR="00A914E6" w:rsidRPr="006D041A">
        <w:rPr>
          <w:rFonts w:ascii="Trebuchet MS" w:hAnsi="Trebuchet MS"/>
          <w:sz w:val="22"/>
          <w:szCs w:val="22"/>
        </w:rPr>
        <w:t>skyline to</w:t>
      </w:r>
      <w:r w:rsidR="00A914E6" w:rsidRPr="006D041A">
        <w:rPr>
          <w:rFonts w:ascii="Trebuchet MS" w:hAnsi="Trebuchet MS"/>
          <w:sz w:val="22"/>
          <w:szCs w:val="22"/>
        </w:rPr>
        <w:t xml:space="preserve">wards </w:t>
      </w:r>
      <w:r w:rsidR="00A914E6" w:rsidRPr="006D041A">
        <w:rPr>
          <w:rFonts w:ascii="Trebuchet MS" w:hAnsi="Trebuchet MS"/>
          <w:sz w:val="22"/>
          <w:szCs w:val="22"/>
        </w:rPr>
        <w:t xml:space="preserve">features such </w:t>
      </w:r>
      <w:r w:rsidR="00A914E6">
        <w:rPr>
          <w:rFonts w:ascii="Trebuchet MS" w:hAnsi="Trebuchet MS"/>
          <w:sz w:val="22"/>
          <w:szCs w:val="22"/>
        </w:rPr>
        <w:t>as t</w:t>
      </w:r>
      <w:r w:rsidR="00A914E6">
        <w:rPr>
          <w:rFonts w:ascii="Trebuchet MS" w:hAnsi="Trebuchet MS"/>
          <w:sz w:val="22"/>
          <w:szCs w:val="22"/>
        </w:rPr>
        <w:t>he Royal Crescent and Beckford’s Tower, as well as being an important remainder of Twerton’s original agricultural setting and historic field system which were largely redeveloped from the mid-20</w:t>
      </w:r>
      <w:r w:rsidR="00A914E6">
        <w:rPr>
          <w:rFonts w:ascii="Trebuchet MS" w:hAnsi="Trebuchet MS"/>
          <w:sz w:val="22"/>
          <w:szCs w:val="22"/>
          <w:vertAlign w:val="superscript"/>
        </w:rPr>
        <w:t>th</w:t>
      </w:r>
      <w:r w:rsidR="00A914E6">
        <w:rPr>
          <w:rFonts w:ascii="Trebuchet MS" w:hAnsi="Trebuchet MS"/>
          <w:sz w:val="22"/>
          <w:szCs w:val="22"/>
        </w:rPr>
        <w:t xml:space="preserve"> century. As well as being a recognised SNCI, the Bath City</w:t>
      </w:r>
      <w:r w:rsidR="00A914E6">
        <w:rPr>
          <w:rFonts w:ascii="Trebuchet MS" w:hAnsi="Trebuchet MS"/>
          <w:sz w:val="22"/>
          <w:szCs w:val="22"/>
        </w:rPr>
        <w:t xml:space="preserve"> Farm site is identified as an area of distinctive, undeveloped night-time character which appears as a “pool of darkness” within an otherwise built-up and well-lit area. </w:t>
      </w:r>
    </w:p>
    <w:p w:rsidR="00ED2E72" w:rsidRDefault="00A914E6">
      <w:pPr>
        <w:rPr>
          <w:rFonts w:ascii="Trebuchet MS" w:hAnsi="Trebuchet MS"/>
          <w:b/>
          <w:sz w:val="22"/>
          <w:szCs w:val="22"/>
        </w:rPr>
      </w:pPr>
      <w:r>
        <w:rPr>
          <w:rFonts w:ascii="Trebuchet MS" w:hAnsi="Trebuchet MS"/>
          <w:b/>
          <w:sz w:val="22"/>
          <w:szCs w:val="22"/>
        </w:rPr>
        <w:t>Justification and Planning Policy</w:t>
      </w:r>
    </w:p>
    <w:p w:rsidR="00ED2E72" w:rsidRDefault="00A914E6">
      <w:pPr>
        <w:rPr>
          <w:rFonts w:ascii="Trebuchet MS" w:hAnsi="Trebuchet MS"/>
          <w:sz w:val="22"/>
          <w:szCs w:val="22"/>
        </w:rPr>
      </w:pPr>
      <w:r>
        <w:rPr>
          <w:rFonts w:ascii="Trebuchet MS" w:hAnsi="Trebuchet MS"/>
          <w:sz w:val="22"/>
          <w:szCs w:val="22"/>
        </w:rPr>
        <w:t xml:space="preserve">We acknowledge that the parcel of land in </w:t>
      </w:r>
      <w:r w:rsidRPr="006D041A">
        <w:rPr>
          <w:rFonts w:ascii="Trebuchet MS" w:hAnsi="Trebuchet MS"/>
          <w:sz w:val="22"/>
          <w:szCs w:val="22"/>
        </w:rPr>
        <w:t>question</w:t>
      </w:r>
      <w:r w:rsidRPr="006D041A">
        <w:rPr>
          <w:rFonts w:ascii="Trebuchet MS" w:hAnsi="Trebuchet MS"/>
          <w:sz w:val="22"/>
          <w:szCs w:val="22"/>
        </w:rPr>
        <w:t xml:space="preserve"> is </w:t>
      </w:r>
      <w:r w:rsidRPr="006D041A">
        <w:rPr>
          <w:rFonts w:ascii="Trebuchet MS" w:hAnsi="Trebuchet MS"/>
          <w:sz w:val="22"/>
          <w:szCs w:val="22"/>
        </w:rPr>
        <w:t>not part of</w:t>
      </w:r>
      <w:r w:rsidRPr="006D041A">
        <w:rPr>
          <w:rFonts w:ascii="Trebuchet MS" w:hAnsi="Trebuchet MS"/>
          <w:sz w:val="22"/>
          <w:szCs w:val="22"/>
        </w:rPr>
        <w:t xml:space="preserve"> the </w:t>
      </w:r>
      <w:r>
        <w:rPr>
          <w:rFonts w:ascii="Trebuchet MS" w:hAnsi="Trebuchet MS"/>
          <w:sz w:val="22"/>
          <w:szCs w:val="22"/>
        </w:rPr>
        <w:t xml:space="preserve">Bath City Farm site; </w:t>
      </w:r>
      <w:r w:rsidRPr="006D041A">
        <w:rPr>
          <w:rFonts w:ascii="Trebuchet MS" w:hAnsi="Trebuchet MS"/>
          <w:sz w:val="22"/>
          <w:szCs w:val="22"/>
        </w:rPr>
        <w:t xml:space="preserve">however, </w:t>
      </w:r>
      <w:r w:rsidRPr="006D041A">
        <w:rPr>
          <w:rFonts w:ascii="Trebuchet MS" w:hAnsi="Trebuchet MS"/>
          <w:sz w:val="22"/>
          <w:szCs w:val="22"/>
        </w:rPr>
        <w:t>being contiguous</w:t>
      </w:r>
      <w:r w:rsidRPr="006D041A">
        <w:rPr>
          <w:rFonts w:ascii="Trebuchet MS" w:hAnsi="Trebuchet MS"/>
          <w:sz w:val="22"/>
          <w:szCs w:val="22"/>
        </w:rPr>
        <w:t>, it contin</w:t>
      </w:r>
      <w:r>
        <w:rPr>
          <w:rFonts w:ascii="Trebuchet MS" w:hAnsi="Trebuchet MS"/>
          <w:sz w:val="22"/>
          <w:szCs w:val="22"/>
        </w:rPr>
        <w:t>ues to contribute to the overall green, undeveloped appearance of this “important hillside</w:t>
      </w:r>
      <w:r w:rsidRPr="006D041A">
        <w:rPr>
          <w:rFonts w:ascii="Trebuchet MS" w:hAnsi="Trebuchet MS"/>
          <w:sz w:val="22"/>
          <w:szCs w:val="22"/>
        </w:rPr>
        <w:t>” and</w:t>
      </w:r>
      <w:r w:rsidRPr="006D041A">
        <w:rPr>
          <w:rFonts w:ascii="Trebuchet MS" w:hAnsi="Trebuchet MS"/>
          <w:sz w:val="22"/>
          <w:szCs w:val="22"/>
        </w:rPr>
        <w:t>,</w:t>
      </w:r>
      <w:r w:rsidRPr="006D041A">
        <w:rPr>
          <w:rFonts w:ascii="Trebuchet MS" w:hAnsi="Trebuchet MS"/>
          <w:sz w:val="22"/>
          <w:szCs w:val="22"/>
        </w:rPr>
        <w:t xml:space="preserve"> therefore</w:t>
      </w:r>
      <w:r w:rsidRPr="006D041A">
        <w:rPr>
          <w:rFonts w:ascii="Trebuchet MS" w:hAnsi="Trebuchet MS"/>
          <w:sz w:val="22"/>
          <w:szCs w:val="22"/>
        </w:rPr>
        <w:t>,</w:t>
      </w:r>
      <w:r w:rsidRPr="006D041A">
        <w:rPr>
          <w:rFonts w:ascii="Trebuchet MS" w:hAnsi="Trebuchet MS"/>
          <w:sz w:val="22"/>
          <w:szCs w:val="22"/>
        </w:rPr>
        <w:t xml:space="preserve"> maintains </w:t>
      </w:r>
      <w:r>
        <w:rPr>
          <w:rFonts w:ascii="Trebuchet MS" w:hAnsi="Trebuchet MS"/>
          <w:sz w:val="22"/>
          <w:szCs w:val="22"/>
        </w:rPr>
        <w:t>some significance in its open, undeveloped char</w:t>
      </w:r>
      <w:r>
        <w:rPr>
          <w:rFonts w:ascii="Trebuchet MS" w:hAnsi="Trebuchet MS"/>
          <w:sz w:val="22"/>
          <w:szCs w:val="22"/>
        </w:rPr>
        <w:t xml:space="preserve">acter as part of a recognised feature of the landscape setting of the WHS. </w:t>
      </w:r>
    </w:p>
    <w:p w:rsidR="00ED2E72" w:rsidRDefault="00A914E6">
      <w:pPr>
        <w:rPr>
          <w:rFonts w:ascii="Trebuchet MS" w:hAnsi="Trebuchet MS"/>
          <w:sz w:val="22"/>
          <w:szCs w:val="22"/>
        </w:rPr>
      </w:pPr>
      <w:r>
        <w:rPr>
          <w:rFonts w:ascii="Trebuchet MS" w:hAnsi="Trebuchet MS"/>
          <w:sz w:val="22"/>
          <w:szCs w:val="22"/>
        </w:rPr>
        <w:t>Whilst the Heritage Statement dismisses the parcel’s significance due to it having “no intrinsic heritage value of its own, that is tucked into the surrounding developed urban form</w:t>
      </w:r>
      <w:r>
        <w:rPr>
          <w:rFonts w:ascii="Trebuchet MS" w:hAnsi="Trebuchet MS"/>
          <w:sz w:val="22"/>
          <w:szCs w:val="22"/>
        </w:rPr>
        <w:t xml:space="preserve"> on the edge of an ‘Important Hillside’”, we would fundamentally disagree with this statement. Since this parcel forms part of a recognised “important hillside”, it possesses a shared, cumulative significance in the hillside’s overall scale, green and unde</w:t>
      </w:r>
      <w:r>
        <w:rPr>
          <w:rFonts w:ascii="Trebuchet MS" w:hAnsi="Trebuchet MS"/>
          <w:sz w:val="22"/>
          <w:szCs w:val="22"/>
        </w:rPr>
        <w:t>veloped appearance from across the valley which helps to break up an otherwise dense residential estate and visually connect Bath with its rural setting, and its retention of part of Twerton’s historic agricultural setting. Therefore, the loss of this parc</w:t>
      </w:r>
      <w:r>
        <w:rPr>
          <w:rFonts w:ascii="Trebuchet MS" w:hAnsi="Trebuchet MS"/>
          <w:sz w:val="22"/>
          <w:szCs w:val="22"/>
        </w:rPr>
        <w:t>el of land would neither conserve nor enhance local landscape character or distinctiveness, and would be of detriment to the hillside’s overall contribution to the OUV green, undeveloped setting of the WHS.</w:t>
      </w:r>
    </w:p>
    <w:p w:rsidR="00ED2E72" w:rsidRDefault="00A914E6" w:rsidP="006D041A">
      <w:r>
        <w:rPr>
          <w:rFonts w:ascii="Trebuchet MS" w:hAnsi="Trebuchet MS"/>
          <w:sz w:val="22"/>
          <w:szCs w:val="22"/>
        </w:rPr>
        <w:t xml:space="preserve">Our particular concern centres on the concept of </w:t>
      </w:r>
      <w:r>
        <w:rPr>
          <w:rFonts w:ascii="Trebuchet MS" w:hAnsi="Trebuchet MS"/>
          <w:sz w:val="22"/>
          <w:szCs w:val="22"/>
        </w:rPr>
        <w:t xml:space="preserve">precedent and ‘site creep’ as development pressures increase over time. We feel that this site must remain sacrosanct in order to protect the hillside from incremental and </w:t>
      </w:r>
      <w:r w:rsidRPr="006D041A">
        <w:rPr>
          <w:rFonts w:ascii="Trebuchet MS" w:hAnsi="Trebuchet MS"/>
          <w:sz w:val="22"/>
          <w:szCs w:val="22"/>
        </w:rPr>
        <w:t xml:space="preserve">cumulative harm </w:t>
      </w:r>
      <w:r w:rsidRPr="006D041A">
        <w:rPr>
          <w:rFonts w:ascii="Trebuchet MS" w:hAnsi="Trebuchet MS"/>
          <w:sz w:val="22"/>
          <w:szCs w:val="22"/>
        </w:rPr>
        <w:t>such</w:t>
      </w:r>
      <w:r w:rsidR="006D041A" w:rsidRPr="006D041A">
        <w:rPr>
          <w:rFonts w:ascii="Trebuchet MS" w:hAnsi="Trebuchet MS"/>
          <w:sz w:val="22"/>
          <w:szCs w:val="22"/>
        </w:rPr>
        <w:t xml:space="preserve"> as has been </w:t>
      </w:r>
      <w:r w:rsidRPr="006D041A">
        <w:rPr>
          <w:rFonts w:ascii="Trebuchet MS" w:hAnsi="Trebuchet MS"/>
          <w:sz w:val="22"/>
          <w:szCs w:val="22"/>
        </w:rPr>
        <w:t>shown to occur on the Granville Road ridge.</w:t>
      </w:r>
      <w:r w:rsidRPr="006D041A">
        <w:rPr>
          <w:rFonts w:ascii="Trebuchet MS" w:hAnsi="Trebuchet MS"/>
          <w:sz w:val="22"/>
          <w:szCs w:val="22"/>
        </w:rPr>
        <w:t xml:space="preserve"> </w:t>
      </w:r>
      <w:r w:rsidRPr="006D041A">
        <w:rPr>
          <w:rFonts w:ascii="Trebuchet MS" w:hAnsi="Trebuchet MS"/>
          <w:sz w:val="22"/>
          <w:szCs w:val="22"/>
        </w:rPr>
        <w:t xml:space="preserve"> </w:t>
      </w:r>
      <w:r w:rsidRPr="006D041A">
        <w:rPr>
          <w:rFonts w:ascii="Trebuchet MS" w:hAnsi="Trebuchet MS"/>
          <w:sz w:val="22"/>
          <w:szCs w:val="22"/>
        </w:rPr>
        <w:t xml:space="preserve">If </w:t>
      </w:r>
      <w:r w:rsidRPr="006D041A">
        <w:rPr>
          <w:rFonts w:ascii="Trebuchet MS" w:hAnsi="Trebuchet MS"/>
          <w:sz w:val="22"/>
          <w:szCs w:val="22"/>
        </w:rPr>
        <w:t>permitted, t</w:t>
      </w:r>
      <w:r w:rsidRPr="006D041A">
        <w:rPr>
          <w:rFonts w:ascii="Trebuchet MS" w:hAnsi="Trebuchet MS"/>
          <w:sz w:val="22"/>
          <w:szCs w:val="22"/>
        </w:rPr>
        <w:t>his application</w:t>
      </w:r>
      <w:r w:rsidRPr="006D041A">
        <w:rPr>
          <w:rFonts w:ascii="Trebuchet MS" w:hAnsi="Trebuchet MS"/>
          <w:sz w:val="22"/>
          <w:szCs w:val="22"/>
        </w:rPr>
        <w:t xml:space="preserve"> </w:t>
      </w:r>
      <w:r>
        <w:rPr>
          <w:rFonts w:ascii="Trebuchet MS" w:hAnsi="Trebuchet MS"/>
          <w:sz w:val="22"/>
          <w:szCs w:val="22"/>
        </w:rPr>
        <w:t>would permanently establish a residential use on the land parcel, and an associated increase in pressure to develop the remaining half of the site as previously refused (see application 15/02807/FUL), and would result in the bou</w:t>
      </w:r>
      <w:r>
        <w:rPr>
          <w:rFonts w:ascii="Trebuchet MS" w:hAnsi="Trebuchet MS"/>
          <w:sz w:val="22"/>
          <w:szCs w:val="22"/>
        </w:rPr>
        <w:t xml:space="preserve">ndary erosion of a significant green hillside within the Bath WHS. </w:t>
      </w:r>
    </w:p>
    <w:p w:rsidR="00ED2E72" w:rsidRPr="006D041A" w:rsidRDefault="00A914E6">
      <w:pPr>
        <w:rPr>
          <w:rFonts w:ascii="Trebuchet MS" w:hAnsi="Trebuchet MS"/>
          <w:b/>
          <w:i/>
          <w:sz w:val="22"/>
          <w:szCs w:val="22"/>
        </w:rPr>
      </w:pPr>
      <w:r>
        <w:rPr>
          <w:rFonts w:ascii="Trebuchet MS" w:hAnsi="Trebuchet MS"/>
          <w:b/>
          <w:i/>
          <w:sz w:val="22"/>
          <w:szCs w:val="22"/>
        </w:rPr>
        <w:lastRenderedPageBreak/>
        <w:t xml:space="preserve">This </w:t>
      </w:r>
      <w:r w:rsidRPr="006D041A">
        <w:rPr>
          <w:rFonts w:ascii="Trebuchet MS" w:hAnsi="Trebuchet MS"/>
          <w:b/>
          <w:i/>
          <w:sz w:val="22"/>
          <w:szCs w:val="22"/>
        </w:rPr>
        <w:t>application is</w:t>
      </w:r>
      <w:r w:rsidRPr="006D041A">
        <w:rPr>
          <w:rFonts w:ascii="Trebuchet MS" w:hAnsi="Trebuchet MS"/>
          <w:b/>
          <w:i/>
          <w:sz w:val="22"/>
          <w:szCs w:val="22"/>
        </w:rPr>
        <w:t>,</w:t>
      </w:r>
      <w:r w:rsidRPr="006D041A">
        <w:rPr>
          <w:rFonts w:ascii="Trebuchet MS" w:hAnsi="Trebuchet MS"/>
          <w:b/>
          <w:i/>
          <w:sz w:val="22"/>
          <w:szCs w:val="22"/>
        </w:rPr>
        <w:t xml:space="preserve"> therefore</w:t>
      </w:r>
      <w:r w:rsidRPr="006D041A">
        <w:rPr>
          <w:rFonts w:ascii="Trebuchet MS" w:hAnsi="Trebuchet MS"/>
          <w:b/>
          <w:i/>
          <w:sz w:val="22"/>
          <w:szCs w:val="22"/>
        </w:rPr>
        <w:t>,</w:t>
      </w:r>
      <w:r w:rsidRPr="006D041A">
        <w:rPr>
          <w:rFonts w:ascii="Trebuchet MS" w:hAnsi="Trebuchet MS"/>
          <w:b/>
          <w:i/>
          <w:sz w:val="22"/>
          <w:szCs w:val="22"/>
        </w:rPr>
        <w:t xml:space="preserve"> contrary to Sections 12, 15, and 16 of the NPPF, and Policies B1, B4, HE1, NE2, and NE2a of the Core Strategy and Placemaking Plan. </w:t>
      </w:r>
    </w:p>
    <w:p w:rsidR="00ED2E72" w:rsidRDefault="00A914E6">
      <w:r w:rsidRPr="006D041A">
        <w:rPr>
          <w:rFonts w:ascii="Trebuchet MS" w:hAnsi="Trebuchet MS"/>
          <w:sz w:val="22"/>
          <w:szCs w:val="22"/>
        </w:rPr>
        <w:t>The Trust maintains</w:t>
      </w:r>
      <w:r w:rsidRPr="006D041A">
        <w:rPr>
          <w:rFonts w:ascii="Trebuchet MS" w:hAnsi="Trebuchet MS"/>
          <w:sz w:val="22"/>
          <w:szCs w:val="22"/>
        </w:rPr>
        <w:t>, mo</w:t>
      </w:r>
      <w:r w:rsidRPr="006D041A">
        <w:rPr>
          <w:rFonts w:ascii="Trebuchet MS" w:hAnsi="Trebuchet MS"/>
          <w:sz w:val="22"/>
          <w:szCs w:val="22"/>
        </w:rPr>
        <w:t>reover,</w:t>
      </w:r>
      <w:r w:rsidRPr="006D041A">
        <w:rPr>
          <w:rFonts w:ascii="Trebuchet MS" w:hAnsi="Trebuchet MS"/>
          <w:sz w:val="22"/>
          <w:szCs w:val="22"/>
        </w:rPr>
        <w:t xml:space="preserve"> that the proposed design fails to reflect and conform to the local townscape character in its use of materials, form, or massing. The Hollow’s streetscape is clearly defined in its use of medium </w:t>
      </w:r>
      <w:r>
        <w:rPr>
          <w:rFonts w:ascii="Trebuchet MS" w:hAnsi="Trebuchet MS"/>
          <w:sz w:val="22"/>
          <w:szCs w:val="22"/>
        </w:rPr>
        <w:t>density, well-spaced semi-detached dwellings with gen</w:t>
      </w:r>
      <w:r>
        <w:rPr>
          <w:rFonts w:ascii="Trebuchet MS" w:hAnsi="Trebuchet MS"/>
          <w:sz w:val="22"/>
          <w:szCs w:val="22"/>
        </w:rPr>
        <w:t>erous private gardens to the front and rear, a layout that is clearly visible throughout the early 20</w:t>
      </w:r>
      <w:r>
        <w:rPr>
          <w:rFonts w:ascii="Trebuchet MS" w:hAnsi="Trebuchet MS"/>
          <w:sz w:val="22"/>
          <w:szCs w:val="22"/>
          <w:vertAlign w:val="superscript"/>
        </w:rPr>
        <w:t>th</w:t>
      </w:r>
      <w:r>
        <w:rPr>
          <w:rFonts w:ascii="Trebuchet MS" w:hAnsi="Trebuchet MS"/>
          <w:sz w:val="22"/>
          <w:szCs w:val="22"/>
        </w:rPr>
        <w:t xml:space="preserve"> century Whiteway and Roundhill Park developments. CSL Planning raises the dwelling styles on Parry Close, Langdon Road, and Cotswold View as precedents </w:t>
      </w:r>
      <w:r>
        <w:rPr>
          <w:rFonts w:ascii="Trebuchet MS" w:hAnsi="Trebuchet MS"/>
          <w:sz w:val="22"/>
          <w:szCs w:val="22"/>
        </w:rPr>
        <w:t>for narrow, stepped terraces in the area; however, these samples are more indicative of the area’s backland, cul-de-sac character in which a more compressed design is utilised, “making most efficient use of the land” (CSJ Planning). This application theref</w:t>
      </w:r>
      <w:r>
        <w:rPr>
          <w:rFonts w:ascii="Trebuchet MS" w:hAnsi="Trebuchet MS"/>
          <w:sz w:val="22"/>
          <w:szCs w:val="22"/>
        </w:rPr>
        <w:t xml:space="preserve">ore does </w:t>
      </w:r>
      <w:r w:rsidRPr="006D041A">
        <w:rPr>
          <w:rFonts w:ascii="Trebuchet MS" w:hAnsi="Trebuchet MS"/>
          <w:sz w:val="22"/>
          <w:szCs w:val="22"/>
        </w:rPr>
        <w:t xml:space="preserve">not </w:t>
      </w:r>
      <w:r w:rsidRPr="006D041A">
        <w:rPr>
          <w:rFonts w:ascii="Trebuchet MS" w:hAnsi="Trebuchet MS"/>
          <w:sz w:val="22"/>
          <w:szCs w:val="22"/>
        </w:rPr>
        <w:t xml:space="preserve">take </w:t>
      </w:r>
      <w:r w:rsidRPr="006D041A">
        <w:rPr>
          <w:rFonts w:ascii="Trebuchet MS" w:hAnsi="Trebuchet MS"/>
          <w:sz w:val="22"/>
          <w:szCs w:val="22"/>
        </w:rPr>
        <w:t xml:space="preserve">account </w:t>
      </w:r>
      <w:r w:rsidRPr="006D041A">
        <w:rPr>
          <w:rFonts w:ascii="Trebuchet MS" w:hAnsi="Trebuchet MS"/>
          <w:sz w:val="22"/>
          <w:szCs w:val="22"/>
        </w:rPr>
        <w:t>of</w:t>
      </w:r>
      <w:r w:rsidRPr="006D041A">
        <w:rPr>
          <w:rFonts w:ascii="Trebuchet MS" w:hAnsi="Trebuchet MS"/>
          <w:sz w:val="22"/>
          <w:szCs w:val="22"/>
        </w:rPr>
        <w:t xml:space="preserve"> the proposed </w:t>
      </w:r>
      <w:r>
        <w:rPr>
          <w:rFonts w:ascii="Trebuchet MS" w:hAnsi="Trebuchet MS"/>
          <w:sz w:val="22"/>
          <w:szCs w:val="22"/>
        </w:rPr>
        <w:t xml:space="preserve">site’s position along a primary road between Whiteway and Twerton, along which a lower density appearance and character has already been strongly established. </w:t>
      </w:r>
    </w:p>
    <w:p w:rsidR="00ED2E72" w:rsidRDefault="00A914E6">
      <w:pPr>
        <w:rPr>
          <w:rFonts w:ascii="Trebuchet MS" w:hAnsi="Trebuchet MS"/>
          <w:sz w:val="22"/>
          <w:szCs w:val="22"/>
        </w:rPr>
      </w:pPr>
      <w:r>
        <w:rPr>
          <w:rFonts w:ascii="Trebuchet MS" w:hAnsi="Trebuchet MS"/>
          <w:sz w:val="22"/>
          <w:szCs w:val="22"/>
        </w:rPr>
        <w:t>Therefore, the Trust asserts that the proposal woul</w:t>
      </w:r>
      <w:r>
        <w:rPr>
          <w:rFonts w:ascii="Trebuchet MS" w:hAnsi="Trebuchet MS"/>
          <w:sz w:val="22"/>
          <w:szCs w:val="22"/>
        </w:rPr>
        <w:t>d create an undesirable visual conflict with the existing development along the Hollow, and would consequently fail to suitably reflect or complement existing townscape character. The sharp contrast between the existing massing and form of the Hollow and t</w:t>
      </w:r>
      <w:r>
        <w:rPr>
          <w:rFonts w:ascii="Trebuchet MS" w:hAnsi="Trebuchet MS"/>
          <w:sz w:val="22"/>
          <w:szCs w:val="22"/>
        </w:rPr>
        <w:t xml:space="preserve">he proposed design would result in the visual overdevelopment of the site in which the proposed dwellings would appear crowded and of an inappropriate density. </w:t>
      </w:r>
    </w:p>
    <w:p w:rsidR="00ED2E72" w:rsidRDefault="00A914E6">
      <w:pPr>
        <w:rPr>
          <w:rFonts w:ascii="Trebuchet MS" w:hAnsi="Trebuchet MS"/>
          <w:sz w:val="22"/>
          <w:szCs w:val="22"/>
        </w:rPr>
      </w:pPr>
      <w:r>
        <w:rPr>
          <w:rFonts w:ascii="Trebuchet MS" w:hAnsi="Trebuchet MS"/>
          <w:sz w:val="22"/>
          <w:szCs w:val="22"/>
        </w:rPr>
        <w:t xml:space="preserve">We continue to emphasise that the </w:t>
      </w:r>
      <w:r w:rsidRPr="006D041A">
        <w:rPr>
          <w:rFonts w:ascii="Trebuchet MS" w:hAnsi="Trebuchet MS"/>
          <w:sz w:val="22"/>
          <w:szCs w:val="22"/>
        </w:rPr>
        <w:t xml:space="preserve">proposed use of materials </w:t>
      </w:r>
      <w:r w:rsidR="006D041A" w:rsidRPr="006D041A">
        <w:rPr>
          <w:rFonts w:ascii="Trebuchet MS" w:hAnsi="Trebuchet MS"/>
          <w:sz w:val="22"/>
          <w:szCs w:val="22"/>
        </w:rPr>
        <w:t>(even in their ame</w:t>
      </w:r>
      <w:r w:rsidRPr="006D041A">
        <w:rPr>
          <w:rFonts w:ascii="Trebuchet MS" w:hAnsi="Trebuchet MS"/>
          <w:sz w:val="22"/>
          <w:szCs w:val="22"/>
        </w:rPr>
        <w:t>nded form)</w:t>
      </w:r>
      <w:r w:rsidRPr="006D041A">
        <w:rPr>
          <w:rFonts w:ascii="Trebuchet MS" w:hAnsi="Trebuchet MS"/>
          <w:sz w:val="22"/>
          <w:szCs w:val="22"/>
        </w:rPr>
        <w:t xml:space="preserve"> </w:t>
      </w:r>
      <w:r w:rsidR="006D041A" w:rsidRPr="006D041A">
        <w:rPr>
          <w:rFonts w:ascii="Trebuchet MS" w:hAnsi="Trebuchet MS"/>
          <w:sz w:val="22"/>
          <w:szCs w:val="22"/>
        </w:rPr>
        <w:t>would</w:t>
      </w:r>
      <w:r w:rsidRPr="006D041A">
        <w:rPr>
          <w:rFonts w:ascii="Trebuchet MS" w:hAnsi="Trebuchet MS"/>
          <w:sz w:val="22"/>
          <w:szCs w:val="22"/>
        </w:rPr>
        <w:t xml:space="preserve"> b</w:t>
      </w:r>
      <w:r w:rsidRPr="006D041A">
        <w:rPr>
          <w:rFonts w:ascii="Trebuchet MS" w:hAnsi="Trebuchet MS"/>
          <w:sz w:val="22"/>
          <w:szCs w:val="22"/>
        </w:rPr>
        <w:t>e visually inappropriate, and does not conform to the existing material texture of the area. The proposed use of reconstituted stone for the primary elevations</w:t>
      </w:r>
      <w:r w:rsidRPr="006D041A">
        <w:t xml:space="preserve"> </w:t>
      </w:r>
      <w:r w:rsidRPr="006D041A">
        <w:rPr>
          <w:rFonts w:ascii="Trebuchet MS" w:hAnsi="Trebuchet MS"/>
          <w:sz w:val="22"/>
          <w:szCs w:val="22"/>
        </w:rPr>
        <w:t>is of significant concern given the predominant building material within the area is natural Bat</w:t>
      </w:r>
      <w:r w:rsidRPr="006D041A">
        <w:rPr>
          <w:rFonts w:ascii="Trebuchet MS" w:hAnsi="Trebuchet MS"/>
          <w:sz w:val="22"/>
          <w:szCs w:val="22"/>
        </w:rPr>
        <w:t>h stone. There is no suitable preceden</w:t>
      </w:r>
      <w:r>
        <w:rPr>
          <w:rFonts w:ascii="Trebuchet MS" w:hAnsi="Trebuchet MS"/>
          <w:sz w:val="22"/>
          <w:szCs w:val="22"/>
        </w:rPr>
        <w:t>t for the use of external timber cladding within the immediate area, and we consequently fail to see how this developm</w:t>
      </w:r>
      <w:r w:rsidRPr="006D041A">
        <w:rPr>
          <w:rFonts w:ascii="Trebuchet MS" w:hAnsi="Trebuchet MS"/>
          <w:sz w:val="22"/>
          <w:szCs w:val="22"/>
        </w:rPr>
        <w:t xml:space="preserve">ent </w:t>
      </w:r>
      <w:r w:rsidRPr="006D041A">
        <w:rPr>
          <w:rFonts w:ascii="Trebuchet MS" w:hAnsi="Trebuchet MS"/>
          <w:sz w:val="22"/>
          <w:szCs w:val="22"/>
        </w:rPr>
        <w:t>complement</w:t>
      </w:r>
      <w:r w:rsidRPr="006D041A">
        <w:rPr>
          <w:rFonts w:ascii="Trebuchet MS" w:hAnsi="Trebuchet MS"/>
          <w:sz w:val="22"/>
          <w:szCs w:val="22"/>
        </w:rPr>
        <w:t>s</w:t>
      </w:r>
      <w:r w:rsidRPr="006D041A">
        <w:rPr>
          <w:rFonts w:ascii="Trebuchet MS" w:hAnsi="Trebuchet MS"/>
          <w:sz w:val="22"/>
          <w:szCs w:val="22"/>
        </w:rPr>
        <w:t xml:space="preserve"> </w:t>
      </w:r>
      <w:r w:rsidRPr="006D041A">
        <w:rPr>
          <w:rFonts w:ascii="Trebuchet MS" w:hAnsi="Trebuchet MS"/>
          <w:sz w:val="22"/>
          <w:szCs w:val="22"/>
        </w:rPr>
        <w:t>or</w:t>
      </w:r>
      <w:r w:rsidRPr="006D041A">
        <w:rPr>
          <w:rFonts w:ascii="Trebuchet MS" w:hAnsi="Trebuchet MS"/>
          <w:sz w:val="22"/>
          <w:szCs w:val="22"/>
        </w:rPr>
        <w:t xml:space="preserve"> enhance</w:t>
      </w:r>
      <w:r w:rsidRPr="006D041A">
        <w:rPr>
          <w:rFonts w:ascii="Trebuchet MS" w:hAnsi="Trebuchet MS"/>
          <w:sz w:val="22"/>
          <w:szCs w:val="22"/>
        </w:rPr>
        <w:t>s</w:t>
      </w:r>
      <w:r w:rsidRPr="006D041A">
        <w:rPr>
          <w:rFonts w:ascii="Trebuchet MS" w:hAnsi="Trebuchet MS"/>
          <w:sz w:val="22"/>
          <w:szCs w:val="22"/>
        </w:rPr>
        <w:t xml:space="preserve"> the existing architectural qualities </w:t>
      </w:r>
      <w:r>
        <w:rPr>
          <w:rFonts w:ascii="Trebuchet MS" w:hAnsi="Trebuchet MS"/>
          <w:sz w:val="22"/>
          <w:szCs w:val="22"/>
        </w:rPr>
        <w:t>of the townscape.</w:t>
      </w:r>
    </w:p>
    <w:p w:rsidR="00ED2E72" w:rsidRDefault="00A914E6">
      <w:pPr>
        <w:rPr>
          <w:rFonts w:ascii="Trebuchet MS" w:hAnsi="Trebuchet MS"/>
          <w:b/>
          <w:i/>
          <w:sz w:val="22"/>
          <w:szCs w:val="22"/>
        </w:rPr>
      </w:pPr>
      <w:r>
        <w:rPr>
          <w:rFonts w:ascii="Trebuchet MS" w:hAnsi="Trebuchet MS"/>
          <w:b/>
          <w:i/>
          <w:sz w:val="22"/>
          <w:szCs w:val="22"/>
        </w:rPr>
        <w:t>Th</w:t>
      </w:r>
      <w:r>
        <w:rPr>
          <w:rFonts w:ascii="Trebuchet MS" w:hAnsi="Trebuchet MS"/>
          <w:b/>
          <w:i/>
          <w:sz w:val="22"/>
          <w:szCs w:val="22"/>
        </w:rPr>
        <w:t xml:space="preserve">is </w:t>
      </w:r>
      <w:r w:rsidRPr="006D041A">
        <w:rPr>
          <w:rFonts w:ascii="Trebuchet MS" w:hAnsi="Trebuchet MS"/>
          <w:b/>
          <w:i/>
          <w:sz w:val="22"/>
          <w:szCs w:val="22"/>
        </w:rPr>
        <w:t>application is</w:t>
      </w:r>
      <w:r w:rsidRPr="006D041A">
        <w:rPr>
          <w:rFonts w:ascii="Trebuchet MS" w:hAnsi="Trebuchet MS"/>
          <w:b/>
          <w:i/>
          <w:sz w:val="22"/>
          <w:szCs w:val="22"/>
        </w:rPr>
        <w:t>,</w:t>
      </w:r>
      <w:r w:rsidRPr="006D041A">
        <w:rPr>
          <w:rFonts w:ascii="Trebuchet MS" w:hAnsi="Trebuchet MS"/>
          <w:b/>
          <w:i/>
          <w:sz w:val="22"/>
          <w:szCs w:val="22"/>
        </w:rPr>
        <w:t xml:space="preserve"> therefore</w:t>
      </w:r>
      <w:r w:rsidRPr="006D041A">
        <w:rPr>
          <w:rFonts w:ascii="Trebuchet MS" w:hAnsi="Trebuchet MS"/>
          <w:b/>
          <w:i/>
          <w:sz w:val="22"/>
          <w:szCs w:val="22"/>
        </w:rPr>
        <w:t>,</w:t>
      </w:r>
      <w:r w:rsidRPr="006D041A">
        <w:rPr>
          <w:rFonts w:ascii="Trebuchet MS" w:hAnsi="Trebuchet MS"/>
          <w:b/>
          <w:i/>
          <w:sz w:val="22"/>
          <w:szCs w:val="22"/>
        </w:rPr>
        <w:t xml:space="preserve"> contrary to Section </w:t>
      </w:r>
      <w:r>
        <w:rPr>
          <w:rFonts w:ascii="Trebuchet MS" w:hAnsi="Trebuchet MS"/>
          <w:b/>
          <w:i/>
          <w:sz w:val="22"/>
          <w:szCs w:val="22"/>
        </w:rPr>
        <w:t xml:space="preserve">12 of the NPPF, and Policies BD1, D1, D2, D3, D5, and D7 of the Core Strategy and Placemaking Plan. </w:t>
      </w:r>
    </w:p>
    <w:p w:rsidR="00ED2E72" w:rsidRDefault="00A914E6">
      <w:pPr>
        <w:rPr>
          <w:rFonts w:ascii="Trebuchet MS" w:hAnsi="Trebuchet MS"/>
          <w:b/>
          <w:sz w:val="22"/>
          <w:szCs w:val="22"/>
        </w:rPr>
      </w:pPr>
      <w:r>
        <w:rPr>
          <w:rFonts w:ascii="Trebuchet MS" w:hAnsi="Trebuchet MS"/>
          <w:b/>
          <w:sz w:val="22"/>
          <w:szCs w:val="22"/>
        </w:rPr>
        <w:t>Conclusion</w:t>
      </w:r>
      <w:bookmarkStart w:id="0" w:name="_GoBack"/>
      <w:bookmarkEnd w:id="0"/>
    </w:p>
    <w:p w:rsidR="00ED2E72" w:rsidRDefault="00A914E6">
      <w:r>
        <w:rPr>
          <w:rFonts w:ascii="Trebuchet MS" w:hAnsi="Trebuchet MS"/>
          <w:sz w:val="22"/>
          <w:szCs w:val="22"/>
        </w:rPr>
        <w:t xml:space="preserve">This application would result in the loss of part of one of Bath’s recognised “important hillsides” with resulting detriment to the landscape </w:t>
      </w:r>
      <w:r w:rsidRPr="006D041A">
        <w:rPr>
          <w:rFonts w:ascii="Trebuchet MS" w:hAnsi="Trebuchet MS"/>
          <w:sz w:val="22"/>
          <w:szCs w:val="22"/>
        </w:rPr>
        <w:t xml:space="preserve">setting </w:t>
      </w:r>
      <w:r w:rsidRPr="006D041A">
        <w:rPr>
          <w:rFonts w:ascii="Trebuchet MS" w:hAnsi="Trebuchet MS"/>
          <w:sz w:val="22"/>
          <w:szCs w:val="22"/>
        </w:rPr>
        <w:t>and</w:t>
      </w:r>
      <w:r w:rsidRPr="006D041A">
        <w:rPr>
          <w:rFonts w:ascii="Trebuchet MS" w:hAnsi="Trebuchet MS"/>
          <w:sz w:val="22"/>
          <w:szCs w:val="22"/>
        </w:rPr>
        <w:t xml:space="preserve"> OUV of the</w:t>
      </w:r>
      <w:r w:rsidRPr="006D041A">
        <w:rPr>
          <w:rFonts w:ascii="Trebuchet MS" w:hAnsi="Trebuchet MS"/>
          <w:sz w:val="22"/>
          <w:szCs w:val="22"/>
        </w:rPr>
        <w:t xml:space="preserve"> WHS</w:t>
      </w:r>
      <w:r w:rsidRPr="006D041A">
        <w:rPr>
          <w:rFonts w:ascii="Trebuchet MS" w:hAnsi="Trebuchet MS"/>
          <w:sz w:val="22"/>
          <w:szCs w:val="22"/>
        </w:rPr>
        <w:t>, and the indicative landscape setting of the Twerton village character area of the Bath</w:t>
      </w:r>
      <w:r w:rsidRPr="006D041A">
        <w:rPr>
          <w:rFonts w:ascii="Trebuchet MS" w:hAnsi="Trebuchet MS"/>
          <w:sz w:val="22"/>
          <w:szCs w:val="22"/>
        </w:rPr>
        <w:t xml:space="preserve"> conservation area. The proposed dwelling design, form</w:t>
      </w:r>
      <w:r w:rsidR="006D041A" w:rsidRPr="006D041A">
        <w:rPr>
          <w:rFonts w:ascii="Trebuchet MS" w:hAnsi="Trebuchet MS"/>
          <w:sz w:val="22"/>
          <w:szCs w:val="22"/>
        </w:rPr>
        <w:t>, massing, and use of materials</w:t>
      </w:r>
      <w:r w:rsidRPr="006D041A">
        <w:rPr>
          <w:rFonts w:ascii="Trebuchet MS" w:hAnsi="Trebuchet MS"/>
          <w:sz w:val="22"/>
          <w:szCs w:val="22"/>
        </w:rPr>
        <w:t xml:space="preserve"> neither complement nor contribute to existing townscape character or distinctiveness.  </w:t>
      </w:r>
      <w:r w:rsidRPr="006D041A">
        <w:rPr>
          <w:rFonts w:ascii="Trebuchet MS" w:hAnsi="Trebuchet MS"/>
          <w:sz w:val="22"/>
          <w:szCs w:val="22"/>
        </w:rPr>
        <w:t>Thus,</w:t>
      </w:r>
      <w:r w:rsidRPr="006D041A">
        <w:rPr>
          <w:rFonts w:ascii="Trebuchet MS" w:hAnsi="Trebuchet MS"/>
          <w:sz w:val="22"/>
          <w:szCs w:val="22"/>
        </w:rPr>
        <w:t xml:space="preserve"> </w:t>
      </w:r>
      <w:r w:rsidRPr="006D041A">
        <w:rPr>
          <w:rFonts w:ascii="Trebuchet MS" w:hAnsi="Trebuchet MS"/>
          <w:sz w:val="22"/>
          <w:szCs w:val="22"/>
        </w:rPr>
        <w:t xml:space="preserve">this </w:t>
      </w:r>
      <w:r w:rsidRPr="006D041A">
        <w:rPr>
          <w:rFonts w:ascii="Trebuchet MS" w:hAnsi="Trebuchet MS"/>
          <w:sz w:val="22"/>
          <w:szCs w:val="22"/>
        </w:rPr>
        <w:t>scheme</w:t>
      </w:r>
      <w:r w:rsidRPr="006D041A">
        <w:rPr>
          <w:rFonts w:ascii="Trebuchet MS" w:hAnsi="Trebuchet MS"/>
          <w:sz w:val="22"/>
          <w:szCs w:val="22"/>
        </w:rPr>
        <w:t xml:space="preserve"> is </w:t>
      </w:r>
      <w:r w:rsidRPr="006D041A">
        <w:rPr>
          <w:rFonts w:ascii="Trebuchet MS" w:hAnsi="Trebuchet MS"/>
          <w:sz w:val="22"/>
          <w:szCs w:val="22"/>
        </w:rPr>
        <w:t>contrary to Sections 12, 15, and 16</w:t>
      </w:r>
      <w:r w:rsidRPr="006D041A">
        <w:rPr>
          <w:rFonts w:ascii="Trebuchet MS" w:hAnsi="Trebuchet MS"/>
          <w:sz w:val="22"/>
          <w:szCs w:val="22"/>
        </w:rPr>
        <w:t xml:space="preserve"> of the NPPF, and Policies BD1, B1, B4, D1, D2, D3, D5, D7, HE1, NE2, and NE2a of the Core Strategy and Placemaking Plan, and we </w:t>
      </w:r>
      <w:r w:rsidRPr="006D041A">
        <w:rPr>
          <w:rFonts w:ascii="Trebuchet MS" w:hAnsi="Trebuchet MS"/>
          <w:sz w:val="22"/>
          <w:szCs w:val="22"/>
        </w:rPr>
        <w:t xml:space="preserve">request </w:t>
      </w:r>
      <w:r w:rsidRPr="006D041A">
        <w:rPr>
          <w:rFonts w:ascii="Trebuchet MS" w:hAnsi="Trebuchet MS"/>
          <w:sz w:val="22"/>
          <w:szCs w:val="22"/>
        </w:rPr>
        <w:t xml:space="preserve">that this appeal </w:t>
      </w:r>
      <w:r w:rsidRPr="006D041A">
        <w:rPr>
          <w:rFonts w:ascii="Trebuchet MS" w:hAnsi="Trebuchet MS"/>
          <w:sz w:val="22"/>
          <w:szCs w:val="22"/>
        </w:rPr>
        <w:t>be</w:t>
      </w:r>
      <w:r w:rsidRPr="006D041A">
        <w:rPr>
          <w:rFonts w:ascii="Trebuchet MS" w:hAnsi="Trebuchet MS"/>
          <w:sz w:val="22"/>
          <w:szCs w:val="22"/>
        </w:rPr>
        <w:t xml:space="preserve"> dismissed. </w:t>
      </w:r>
    </w:p>
    <w:p w:rsidR="00ED2E72" w:rsidRDefault="00ED2E72">
      <w:pPr>
        <w:rPr>
          <w:rFonts w:ascii="Trebuchet MS" w:hAnsi="Trebuchet MS"/>
          <w:b/>
          <w:sz w:val="22"/>
          <w:szCs w:val="22"/>
        </w:rPr>
      </w:pPr>
    </w:p>
    <w:p w:rsidR="00ED2E72" w:rsidRDefault="00ED2E72"/>
    <w:p w:rsidR="00ED2E72" w:rsidRDefault="00ED2E72"/>
    <w:sectPr w:rsidR="00ED2E72">
      <w:footerReference w:type="default" r:id="rId9"/>
      <w:pgSz w:w="11906" w:h="16838"/>
      <w:pgMar w:top="1440" w:right="1440" w:bottom="1440" w:left="1440" w:header="0" w:footer="708"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4E6" w:rsidRDefault="00A914E6">
      <w:pPr>
        <w:spacing w:after="0" w:line="240" w:lineRule="auto"/>
      </w:pPr>
      <w:r>
        <w:separator/>
      </w:r>
    </w:p>
  </w:endnote>
  <w:endnote w:type="continuationSeparator" w:id="0">
    <w:p w:rsidR="00A914E6" w:rsidRDefault="00A9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WenQuanYi Micro Hei">
    <w:charset w:val="01"/>
    <w:family w:val="auto"/>
    <w:pitch w:val="variable"/>
  </w:font>
  <w:font w:name="Lohit Devanagari">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113861"/>
      <w:docPartObj>
        <w:docPartGallery w:val="Page Numbers (Bottom of Page)"/>
        <w:docPartUnique/>
      </w:docPartObj>
    </w:sdtPr>
    <w:sdtEndPr/>
    <w:sdtContent>
      <w:p w:rsidR="00ED2E72" w:rsidRDefault="00A914E6">
        <w:pPr>
          <w:pStyle w:val="Footer"/>
          <w:jc w:val="right"/>
        </w:pPr>
        <w:r>
          <w:fldChar w:fldCharType="begin"/>
        </w:r>
        <w:r>
          <w:instrText>PAGE</w:instrText>
        </w:r>
        <w:r>
          <w:fldChar w:fldCharType="separate"/>
        </w:r>
        <w:r w:rsidR="006D041A">
          <w:rPr>
            <w:noProof/>
          </w:rPr>
          <w:t>1</w:t>
        </w:r>
        <w:r>
          <w:fldChar w:fldCharType="end"/>
        </w:r>
      </w:p>
    </w:sdtContent>
  </w:sdt>
  <w:p w:rsidR="00ED2E72" w:rsidRDefault="00ED2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4E6" w:rsidRDefault="00A914E6">
      <w:pPr>
        <w:spacing w:after="0" w:line="240" w:lineRule="auto"/>
      </w:pPr>
      <w:r>
        <w:separator/>
      </w:r>
    </w:p>
  </w:footnote>
  <w:footnote w:type="continuationSeparator" w:id="0">
    <w:p w:rsidR="00A914E6" w:rsidRDefault="00A91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535"/>
    <w:multiLevelType w:val="multilevel"/>
    <w:tmpl w:val="2C88B138"/>
    <w:lvl w:ilvl="0">
      <w:start w:val="1"/>
      <w:numFmt w:val="decimal"/>
      <w:lvlText w:val="%1."/>
      <w:lvlJc w:val="left"/>
      <w:pPr>
        <w:ind w:left="720" w:hanging="360"/>
      </w:pPr>
      <w:rPr>
        <w:rFonts w:ascii="Trebuchet MS" w:hAnsi="Trebuchet MS"/>
        <w:b w:val="0"/>
        <w:sz w:val="22"/>
      </w:rPr>
    </w:lvl>
    <w:lvl w:ilvl="1">
      <w:start w:val="1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15:restartNumberingAfterBreak="0">
    <w:nsid w:val="23D66F51"/>
    <w:multiLevelType w:val="multilevel"/>
    <w:tmpl w:val="7ECE4C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72"/>
    <w:rsid w:val="006D041A"/>
    <w:rsid w:val="00A914E6"/>
    <w:rsid w:val="00ED2E7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1C653-2CF1-434A-8D45-5516B211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210"/>
    <w:pPr>
      <w:spacing w:after="200" w:line="276" w:lineRule="auto"/>
    </w:pPr>
    <w:rPr>
      <w:rFonts w:ascii="Palatino Linotype" w:hAnsi="Palatino Linotype"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13908"/>
    <w:rPr>
      <w:rFonts w:ascii="Palatino Linotype" w:eastAsia="Calibri" w:hAnsi="Palatino Linotype" w:cs="Arial"/>
      <w:sz w:val="20"/>
      <w:szCs w:val="20"/>
    </w:rPr>
  </w:style>
  <w:style w:type="character" w:customStyle="1" w:styleId="FooterChar">
    <w:name w:val="Footer Char"/>
    <w:basedOn w:val="DefaultParagraphFont"/>
    <w:link w:val="Footer"/>
    <w:uiPriority w:val="99"/>
    <w:qFormat/>
    <w:rsid w:val="00E13908"/>
    <w:rPr>
      <w:rFonts w:ascii="Palatino Linotype" w:eastAsia="Calibri" w:hAnsi="Palatino Linotype" w:cs="Arial"/>
      <w:sz w:val="20"/>
      <w:szCs w:val="20"/>
    </w:rPr>
  </w:style>
  <w:style w:type="character" w:customStyle="1" w:styleId="ListLabel1">
    <w:name w:val="ListLabel 1"/>
    <w:qFormat/>
    <w:rPr>
      <w:rFonts w:ascii="Trebuchet MS" w:hAnsi="Trebuchet MS"/>
      <w:b w:val="0"/>
      <w:sz w:val="22"/>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77210"/>
    <w:pPr>
      <w:ind w:left="720"/>
      <w:contextualSpacing/>
    </w:pPr>
  </w:style>
  <w:style w:type="paragraph" w:styleId="Header">
    <w:name w:val="header"/>
    <w:basedOn w:val="Normal"/>
    <w:link w:val="HeaderChar"/>
    <w:uiPriority w:val="99"/>
    <w:unhideWhenUsed/>
    <w:rsid w:val="00E13908"/>
    <w:pPr>
      <w:tabs>
        <w:tab w:val="center" w:pos="4513"/>
        <w:tab w:val="right" w:pos="9026"/>
      </w:tabs>
      <w:spacing w:after="0" w:line="240" w:lineRule="auto"/>
    </w:pPr>
  </w:style>
  <w:style w:type="paragraph" w:styleId="Footer">
    <w:name w:val="footer"/>
    <w:basedOn w:val="Normal"/>
    <w:link w:val="FooterChar"/>
    <w:uiPriority w:val="99"/>
    <w:unhideWhenUsed/>
    <w:rsid w:val="00E13908"/>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1298</Words>
  <Characters>7402</Characters>
  <Application>Microsoft Office Word</Application>
  <DocSecurity>0</DocSecurity>
  <Lines>61</Lines>
  <Paragraphs>17</Paragraphs>
  <ScaleCrop>false</ScaleCrop>
  <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dc:description/>
  <cp:lastModifiedBy>Alex Best</cp:lastModifiedBy>
  <cp:revision>2</cp:revision>
  <dcterms:created xsi:type="dcterms:W3CDTF">2020-06-23T10:20:00Z</dcterms:created>
  <dcterms:modified xsi:type="dcterms:W3CDTF">2020-06-23T10:20:00Z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