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DD" w:rsidRDefault="00F33FDD" w:rsidP="003313B9">
      <w:pPr>
        <w:rPr>
          <w:rFonts w:ascii="Trebuchet MS" w:hAnsi="Trebuchet MS"/>
          <w:b/>
          <w:sz w:val="24"/>
          <w:szCs w:val="24"/>
        </w:rPr>
      </w:pPr>
      <w:r>
        <w:rPr>
          <w:rFonts w:ascii="Trebuchet MS" w:hAnsi="Trebuchet MS"/>
          <w:b/>
          <w:noProof/>
          <w:lang w:eastAsia="en-GB"/>
        </w:rPr>
        <w:drawing>
          <wp:inline distT="0" distB="0" distL="0" distR="0">
            <wp:extent cx="3295650" cy="1009650"/>
            <wp:effectExtent l="0" t="0" r="0" b="0"/>
            <wp:docPr id="1" name="Picture 1" descr="B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1009650"/>
                    </a:xfrm>
                    <a:prstGeom prst="rect">
                      <a:avLst/>
                    </a:prstGeom>
                    <a:noFill/>
                    <a:ln>
                      <a:noFill/>
                    </a:ln>
                  </pic:spPr>
                </pic:pic>
              </a:graphicData>
            </a:graphic>
          </wp:inline>
        </w:drawing>
      </w:r>
    </w:p>
    <w:p w:rsidR="003313B9" w:rsidRPr="00F33FDD" w:rsidRDefault="003313B9" w:rsidP="003313B9">
      <w:pPr>
        <w:rPr>
          <w:rFonts w:ascii="Trebuchet MS" w:hAnsi="Trebuchet MS"/>
          <w:b/>
          <w:sz w:val="24"/>
          <w:szCs w:val="24"/>
          <w:u w:val="single"/>
        </w:rPr>
      </w:pPr>
      <w:r w:rsidRPr="00F33FDD">
        <w:rPr>
          <w:rFonts w:ascii="Trebuchet MS" w:hAnsi="Trebuchet MS"/>
          <w:b/>
          <w:sz w:val="24"/>
          <w:szCs w:val="24"/>
          <w:u w:val="single"/>
        </w:rPr>
        <w:t>Statement to Planning Committee 16/12/20</w:t>
      </w:r>
      <w:r w:rsidR="00F33FDD" w:rsidRPr="00F33FDD">
        <w:rPr>
          <w:rFonts w:ascii="Trebuchet MS" w:hAnsi="Trebuchet MS"/>
          <w:b/>
          <w:sz w:val="24"/>
          <w:szCs w:val="24"/>
          <w:u w:val="single"/>
        </w:rPr>
        <w:t>20</w:t>
      </w:r>
    </w:p>
    <w:p w:rsidR="00F33FDD" w:rsidRDefault="00F33FDD" w:rsidP="003313B9">
      <w:pPr>
        <w:rPr>
          <w:rFonts w:ascii="Trebuchet MS" w:hAnsi="Trebuchet MS"/>
          <w:b/>
          <w:sz w:val="24"/>
          <w:szCs w:val="24"/>
        </w:rPr>
      </w:pPr>
      <w:r w:rsidRPr="00F33FDD">
        <w:rPr>
          <w:rFonts w:ascii="Trebuchet MS" w:hAnsi="Trebuchet MS"/>
          <w:b/>
          <w:sz w:val="24"/>
          <w:szCs w:val="24"/>
        </w:rPr>
        <w:t>20/00259/FUL</w:t>
      </w:r>
    </w:p>
    <w:p w:rsidR="003313B9" w:rsidRPr="00F33FDD" w:rsidRDefault="003313B9" w:rsidP="003313B9">
      <w:pPr>
        <w:rPr>
          <w:rFonts w:ascii="Trebuchet MS" w:hAnsi="Trebuchet MS"/>
          <w:sz w:val="24"/>
          <w:szCs w:val="24"/>
        </w:rPr>
      </w:pPr>
      <w:r w:rsidRPr="00F33FDD">
        <w:rPr>
          <w:rFonts w:ascii="Trebuchet MS" w:hAnsi="Trebuchet MS"/>
          <w:sz w:val="24"/>
          <w:szCs w:val="24"/>
        </w:rPr>
        <w:t xml:space="preserve">Homebase Ltd, Pines Way, Westmoreland, Bath, Bath </w:t>
      </w:r>
      <w:proofErr w:type="gramStart"/>
      <w:r w:rsidRPr="00F33FDD">
        <w:rPr>
          <w:rFonts w:ascii="Trebuchet MS" w:hAnsi="Trebuchet MS"/>
          <w:sz w:val="24"/>
          <w:szCs w:val="24"/>
        </w:rPr>
        <w:t>And</w:t>
      </w:r>
      <w:proofErr w:type="gramEnd"/>
      <w:r w:rsidRPr="00F33FDD">
        <w:rPr>
          <w:rFonts w:ascii="Trebuchet MS" w:hAnsi="Trebuchet MS"/>
          <w:sz w:val="24"/>
          <w:szCs w:val="24"/>
        </w:rPr>
        <w:t xml:space="preserve"> North East Somerset, BA2 3ET</w:t>
      </w:r>
    </w:p>
    <w:p w:rsidR="003313B9" w:rsidRPr="00043E0C" w:rsidRDefault="003313B9" w:rsidP="003313B9">
      <w:pPr>
        <w:rPr>
          <w:rFonts w:ascii="Trebuchet MS" w:hAnsi="Trebuchet MS"/>
          <w:sz w:val="24"/>
          <w:szCs w:val="24"/>
        </w:rPr>
      </w:pPr>
      <w:r w:rsidRPr="00043E0C">
        <w:rPr>
          <w:rFonts w:ascii="Trebuchet MS" w:hAnsi="Trebuchet MS"/>
          <w:sz w:val="24"/>
          <w:szCs w:val="24"/>
        </w:rPr>
        <w:t>Redevelopment of the site to provide a new care community (Use Class C2) comprising care residences and care suites and ancillary communal, care and well-being facilitie</w:t>
      </w:r>
      <w:bookmarkStart w:id="0" w:name="_GoBack"/>
      <w:bookmarkEnd w:id="0"/>
      <w:r w:rsidRPr="00043E0C">
        <w:rPr>
          <w:rFonts w:ascii="Trebuchet MS" w:hAnsi="Trebuchet MS"/>
          <w:sz w:val="24"/>
          <w:szCs w:val="24"/>
        </w:rPr>
        <w:t>s, offices in Use Class E(g)(</w:t>
      </w:r>
      <w:proofErr w:type="spellStart"/>
      <w:r w:rsidRPr="00043E0C">
        <w:rPr>
          <w:rFonts w:ascii="Trebuchet MS" w:hAnsi="Trebuchet MS"/>
          <w:sz w:val="24"/>
          <w:szCs w:val="24"/>
        </w:rPr>
        <w:t>i</w:t>
      </w:r>
      <w:proofErr w:type="spellEnd"/>
      <w:r w:rsidRPr="00043E0C">
        <w:rPr>
          <w:rFonts w:ascii="Trebuchet MS" w:hAnsi="Trebuchet MS"/>
          <w:sz w:val="24"/>
          <w:szCs w:val="24"/>
        </w:rPr>
        <w:t>) together with associated back of house and service areas, pedestrian and vehicular access, car and cycle parking, landscaping, private amenity space and public open space.</w:t>
      </w:r>
    </w:p>
    <w:p w:rsidR="00F33FDD" w:rsidRPr="00F33FDD" w:rsidRDefault="00F33FDD" w:rsidP="003313B9">
      <w:pPr>
        <w:rPr>
          <w:rFonts w:ascii="Trebuchet MS" w:hAnsi="Trebuchet MS"/>
          <w:b/>
          <w:i/>
          <w:sz w:val="24"/>
          <w:szCs w:val="24"/>
        </w:rPr>
      </w:pPr>
      <w:r w:rsidRPr="00F33FDD">
        <w:rPr>
          <w:rFonts w:ascii="Trebuchet MS" w:hAnsi="Trebuchet MS"/>
          <w:b/>
          <w:i/>
          <w:sz w:val="24"/>
          <w:szCs w:val="24"/>
        </w:rPr>
        <w:t>Against</w:t>
      </w:r>
    </w:p>
    <w:p w:rsidR="00F33FDD" w:rsidRPr="00043E0C" w:rsidRDefault="00F33FDD" w:rsidP="003313B9">
      <w:pPr>
        <w:rPr>
          <w:rFonts w:ascii="Trebuchet MS" w:hAnsi="Trebuchet MS"/>
          <w:b/>
          <w:sz w:val="24"/>
          <w:szCs w:val="24"/>
        </w:rPr>
      </w:pPr>
    </w:p>
    <w:p w:rsidR="00706727" w:rsidRDefault="00706727" w:rsidP="00F33FDD">
      <w:pPr>
        <w:spacing w:line="360" w:lineRule="auto"/>
        <w:rPr>
          <w:rFonts w:ascii="Trebuchet MS" w:hAnsi="Trebuchet MS"/>
          <w:i/>
          <w:sz w:val="24"/>
          <w:szCs w:val="24"/>
        </w:rPr>
      </w:pPr>
      <w:r w:rsidRPr="00706727">
        <w:rPr>
          <w:rFonts w:ascii="Trebuchet MS" w:hAnsi="Trebuchet MS"/>
          <w:b/>
          <w:sz w:val="24"/>
          <w:szCs w:val="24"/>
        </w:rPr>
        <w:t xml:space="preserve">We accept the principle of regeneration and development on this site, and encourage the use of a brownfield site to deliver much-needed housing within Bath. </w:t>
      </w:r>
    </w:p>
    <w:p w:rsidR="000E75D1" w:rsidRDefault="00706727" w:rsidP="00F33FDD">
      <w:pPr>
        <w:spacing w:line="360" w:lineRule="auto"/>
        <w:rPr>
          <w:rFonts w:ascii="Trebuchet MS" w:hAnsi="Trebuchet MS"/>
          <w:b/>
          <w:sz w:val="24"/>
          <w:szCs w:val="24"/>
        </w:rPr>
      </w:pPr>
      <w:r>
        <w:rPr>
          <w:rFonts w:ascii="Trebuchet MS" w:hAnsi="Trebuchet MS"/>
          <w:b/>
          <w:sz w:val="24"/>
          <w:szCs w:val="24"/>
        </w:rPr>
        <w:t xml:space="preserve">However, we </w:t>
      </w:r>
      <w:r w:rsidRPr="00706727">
        <w:rPr>
          <w:rFonts w:ascii="Trebuchet MS" w:hAnsi="Trebuchet MS"/>
          <w:b/>
          <w:sz w:val="24"/>
          <w:szCs w:val="24"/>
        </w:rPr>
        <w:t>maintain that the</w:t>
      </w:r>
      <w:r w:rsidRPr="00706727">
        <w:rPr>
          <w:rFonts w:ascii="Trebuchet MS" w:hAnsi="Trebuchet MS"/>
          <w:b/>
          <w:i/>
          <w:sz w:val="24"/>
          <w:szCs w:val="24"/>
        </w:rPr>
        <w:t xml:space="preserve"> </w:t>
      </w:r>
      <w:r w:rsidRPr="00706727">
        <w:rPr>
          <w:rFonts w:ascii="Trebuchet MS" w:hAnsi="Trebuchet MS"/>
          <w:b/>
          <w:sz w:val="24"/>
          <w:szCs w:val="24"/>
        </w:rPr>
        <w:t xml:space="preserve">design, despite continued revisions, fails to reinforce local distinctiveness and neither preserves nor enhances the </w:t>
      </w:r>
      <w:r w:rsidR="000E75D1">
        <w:rPr>
          <w:rFonts w:ascii="Trebuchet MS" w:hAnsi="Trebuchet MS"/>
          <w:b/>
          <w:sz w:val="24"/>
          <w:szCs w:val="24"/>
        </w:rPr>
        <w:t>townscape setting</w:t>
      </w:r>
      <w:r w:rsidRPr="00706727">
        <w:rPr>
          <w:rFonts w:ascii="Trebuchet MS" w:hAnsi="Trebuchet MS"/>
          <w:b/>
          <w:sz w:val="24"/>
          <w:szCs w:val="24"/>
        </w:rPr>
        <w:t xml:space="preserve"> of the Bath Conservation Area</w:t>
      </w:r>
      <w:r w:rsidR="000E75D1">
        <w:rPr>
          <w:rFonts w:ascii="Trebuchet MS" w:hAnsi="Trebuchet MS"/>
          <w:b/>
          <w:sz w:val="24"/>
          <w:szCs w:val="24"/>
        </w:rPr>
        <w:t xml:space="preserve">, would harm views into and across the World Heritage Site, and </w:t>
      </w:r>
      <w:r w:rsidR="000E75D1" w:rsidRPr="000E75D1">
        <w:rPr>
          <w:rFonts w:ascii="Trebuchet MS" w:hAnsi="Trebuchet MS"/>
          <w:b/>
          <w:sz w:val="24"/>
          <w:szCs w:val="24"/>
        </w:rPr>
        <w:t>would harm the special architec</w:t>
      </w:r>
      <w:r w:rsidR="000E75D1">
        <w:rPr>
          <w:rFonts w:ascii="Trebuchet MS" w:hAnsi="Trebuchet MS"/>
          <w:b/>
          <w:sz w:val="24"/>
          <w:szCs w:val="24"/>
        </w:rPr>
        <w:t>tural and historic interest of the</w:t>
      </w:r>
      <w:r w:rsidR="000E75D1" w:rsidRPr="000E75D1">
        <w:rPr>
          <w:rFonts w:ascii="Trebuchet MS" w:hAnsi="Trebuchet MS"/>
          <w:b/>
          <w:sz w:val="24"/>
          <w:szCs w:val="24"/>
        </w:rPr>
        <w:t xml:space="preserve"> Grade II* </w:t>
      </w:r>
      <w:r w:rsidR="000E75D1">
        <w:rPr>
          <w:rFonts w:ascii="Trebuchet MS" w:hAnsi="Trebuchet MS"/>
          <w:b/>
          <w:sz w:val="24"/>
          <w:szCs w:val="24"/>
        </w:rPr>
        <w:t>Norfolk Crescent</w:t>
      </w:r>
      <w:r w:rsidR="000E75D1" w:rsidRPr="000E75D1">
        <w:rPr>
          <w:rFonts w:ascii="Trebuchet MS" w:hAnsi="Trebuchet MS"/>
          <w:b/>
          <w:sz w:val="24"/>
          <w:szCs w:val="24"/>
        </w:rPr>
        <w:t xml:space="preserve"> and the landscape setting of multiple Grade II listed buildings.</w:t>
      </w:r>
    </w:p>
    <w:p w:rsidR="00F5722D" w:rsidRDefault="00BF33D2" w:rsidP="00F33FDD">
      <w:pPr>
        <w:spacing w:line="360" w:lineRule="auto"/>
        <w:rPr>
          <w:rFonts w:ascii="Trebuchet MS" w:hAnsi="Trebuchet MS"/>
          <w:sz w:val="24"/>
          <w:szCs w:val="24"/>
        </w:rPr>
      </w:pPr>
      <w:r w:rsidRPr="00BF33D2">
        <w:rPr>
          <w:rFonts w:ascii="Trebuchet MS" w:hAnsi="Trebuchet MS"/>
          <w:sz w:val="24"/>
          <w:szCs w:val="24"/>
        </w:rPr>
        <w:t xml:space="preserve">Amendments have not addressed the scale, height, and massing of the scheme as viewed from </w:t>
      </w:r>
      <w:proofErr w:type="spellStart"/>
      <w:r w:rsidRPr="00BF33D2">
        <w:rPr>
          <w:rFonts w:ascii="Trebuchet MS" w:hAnsi="Trebuchet MS"/>
          <w:sz w:val="24"/>
          <w:szCs w:val="24"/>
        </w:rPr>
        <w:t>Stothert</w:t>
      </w:r>
      <w:proofErr w:type="spellEnd"/>
      <w:r w:rsidRPr="00BF33D2">
        <w:rPr>
          <w:rFonts w:ascii="Trebuchet MS" w:hAnsi="Trebuchet MS"/>
          <w:sz w:val="24"/>
          <w:szCs w:val="24"/>
        </w:rPr>
        <w:t xml:space="preserve"> Avenue and Pines Way</w:t>
      </w:r>
      <w:r>
        <w:rPr>
          <w:rFonts w:ascii="Trebuchet MS" w:hAnsi="Trebuchet MS"/>
          <w:sz w:val="24"/>
          <w:szCs w:val="24"/>
        </w:rPr>
        <w:t xml:space="preserve"> and remains visually detrimental to its townscape setting and character. </w:t>
      </w:r>
    </w:p>
    <w:p w:rsidR="00BF33D2" w:rsidRDefault="00BF33D2" w:rsidP="00F33FDD">
      <w:pPr>
        <w:spacing w:line="360" w:lineRule="auto"/>
        <w:rPr>
          <w:rFonts w:ascii="Trebuchet MS" w:hAnsi="Trebuchet MS"/>
          <w:sz w:val="24"/>
          <w:szCs w:val="24"/>
        </w:rPr>
      </w:pPr>
      <w:r>
        <w:rPr>
          <w:rFonts w:ascii="Trebuchet MS" w:hAnsi="Trebuchet MS"/>
          <w:sz w:val="24"/>
          <w:szCs w:val="24"/>
        </w:rPr>
        <w:t xml:space="preserve">The introduction of a new two storey ‘town-house’ style </w:t>
      </w:r>
      <w:r w:rsidR="00565C36">
        <w:rPr>
          <w:rFonts w:ascii="Trebuchet MS" w:hAnsi="Trebuchet MS"/>
          <w:sz w:val="24"/>
          <w:szCs w:val="24"/>
        </w:rPr>
        <w:t xml:space="preserve">would </w:t>
      </w:r>
      <w:r w:rsidR="00565C36" w:rsidRPr="00BF33D2">
        <w:rPr>
          <w:rFonts w:ascii="Trebuchet MS" w:hAnsi="Trebuchet MS"/>
          <w:sz w:val="24"/>
          <w:szCs w:val="24"/>
        </w:rPr>
        <w:t>result in a sharp</w:t>
      </w:r>
      <w:r w:rsidR="00565C36">
        <w:rPr>
          <w:rFonts w:ascii="Trebuchet MS" w:hAnsi="Trebuchet MS"/>
          <w:sz w:val="24"/>
          <w:szCs w:val="24"/>
        </w:rPr>
        <w:t>, conflicting</w:t>
      </w:r>
      <w:r w:rsidR="00565C36" w:rsidRPr="00BF33D2">
        <w:rPr>
          <w:rFonts w:ascii="Trebuchet MS" w:hAnsi="Trebuchet MS"/>
          <w:sz w:val="24"/>
          <w:szCs w:val="24"/>
        </w:rPr>
        <w:t xml:space="preserve"> variation in height</w:t>
      </w:r>
      <w:r w:rsidR="00565C36">
        <w:rPr>
          <w:rFonts w:ascii="Trebuchet MS" w:hAnsi="Trebuchet MS"/>
          <w:sz w:val="24"/>
          <w:szCs w:val="24"/>
        </w:rPr>
        <w:t xml:space="preserve"> across the site, and is</w:t>
      </w:r>
      <w:r>
        <w:rPr>
          <w:rFonts w:ascii="Trebuchet MS" w:hAnsi="Trebuchet MS"/>
          <w:sz w:val="24"/>
          <w:szCs w:val="24"/>
        </w:rPr>
        <w:t xml:space="preserve"> an inappropriate solution to the scheme’s excessive overall</w:t>
      </w:r>
      <w:r w:rsidR="00565C36">
        <w:rPr>
          <w:rFonts w:ascii="Trebuchet MS" w:hAnsi="Trebuchet MS"/>
          <w:sz w:val="24"/>
          <w:szCs w:val="24"/>
        </w:rPr>
        <w:t xml:space="preserve"> height</w:t>
      </w:r>
      <w:r>
        <w:rPr>
          <w:rFonts w:ascii="Trebuchet MS" w:hAnsi="Trebuchet MS"/>
          <w:sz w:val="24"/>
          <w:szCs w:val="24"/>
        </w:rPr>
        <w:t xml:space="preserve"> </w:t>
      </w:r>
      <w:r w:rsidRPr="00BF33D2">
        <w:rPr>
          <w:rFonts w:ascii="Trebuchet MS" w:hAnsi="Trebuchet MS"/>
          <w:sz w:val="24"/>
          <w:szCs w:val="24"/>
        </w:rPr>
        <w:t>witho</w:t>
      </w:r>
      <w:r w:rsidR="00C705F1">
        <w:rPr>
          <w:rFonts w:ascii="Trebuchet MS" w:hAnsi="Trebuchet MS"/>
          <w:sz w:val="24"/>
          <w:szCs w:val="24"/>
        </w:rPr>
        <w:t xml:space="preserve">ut precedent </w:t>
      </w:r>
      <w:r w:rsidRPr="00BF33D2">
        <w:rPr>
          <w:rFonts w:ascii="Trebuchet MS" w:hAnsi="Trebuchet MS"/>
          <w:sz w:val="24"/>
          <w:szCs w:val="24"/>
        </w:rPr>
        <w:t xml:space="preserve">in </w:t>
      </w:r>
      <w:r w:rsidR="00C705F1">
        <w:rPr>
          <w:rFonts w:ascii="Trebuchet MS" w:hAnsi="Trebuchet MS"/>
          <w:sz w:val="24"/>
          <w:szCs w:val="24"/>
        </w:rPr>
        <w:t xml:space="preserve">Bath. </w:t>
      </w:r>
    </w:p>
    <w:p w:rsidR="001F72D5" w:rsidRPr="00501A71" w:rsidRDefault="00501A71" w:rsidP="00F33FDD">
      <w:pPr>
        <w:spacing w:line="360" w:lineRule="auto"/>
        <w:rPr>
          <w:rFonts w:ascii="Trebuchet MS" w:hAnsi="Trebuchet MS"/>
          <w:sz w:val="24"/>
          <w:szCs w:val="24"/>
        </w:rPr>
      </w:pPr>
      <w:r w:rsidRPr="00501A71">
        <w:rPr>
          <w:rFonts w:ascii="Trebuchet MS" w:hAnsi="Trebuchet MS"/>
          <w:sz w:val="24"/>
          <w:szCs w:val="24"/>
        </w:rPr>
        <w:t xml:space="preserve">Despite the creation of ‘viewing corridors’ through the development, the collective height, massing, and bulk of Blocks A &amp; B would severely restrict hillside </w:t>
      </w:r>
      <w:r w:rsidRPr="00501A71">
        <w:rPr>
          <w:rFonts w:ascii="Trebuchet MS" w:hAnsi="Trebuchet MS"/>
          <w:sz w:val="24"/>
          <w:szCs w:val="24"/>
        </w:rPr>
        <w:lastRenderedPageBreak/>
        <w:t>views from Norfolk Crescent Green and would harm the intentional landscape setting of the Grade II* Norfolk Crescent.</w:t>
      </w:r>
    </w:p>
    <w:p w:rsidR="001F72D5" w:rsidRPr="001F72D5" w:rsidRDefault="001F72D5" w:rsidP="00F33FDD">
      <w:pPr>
        <w:spacing w:line="360" w:lineRule="auto"/>
        <w:rPr>
          <w:rFonts w:ascii="Trebuchet MS" w:hAnsi="Trebuchet MS"/>
          <w:sz w:val="24"/>
          <w:szCs w:val="24"/>
        </w:rPr>
      </w:pPr>
      <w:r w:rsidRPr="001F72D5">
        <w:rPr>
          <w:rFonts w:ascii="Trebuchet MS" w:hAnsi="Trebuchet MS"/>
          <w:sz w:val="24"/>
          <w:szCs w:val="24"/>
        </w:rPr>
        <w:t xml:space="preserve">We maintain the unsuitability of the predominant use of brick which would be incongruous with the Bath stone throughout the World Heritage Site. In light of the increasing numbers of developments with an excessive emphasis on brick-based designs, this application proposes cumulative harm to the material integrity and harmonious appearance of the World Heritage Site. </w:t>
      </w:r>
    </w:p>
    <w:p w:rsidR="005A3C92" w:rsidRDefault="001F72D5" w:rsidP="00F33FDD">
      <w:pPr>
        <w:spacing w:line="360" w:lineRule="auto"/>
        <w:rPr>
          <w:rFonts w:ascii="Trebuchet MS" w:hAnsi="Trebuchet MS"/>
          <w:b/>
          <w:sz w:val="24"/>
          <w:szCs w:val="24"/>
        </w:rPr>
      </w:pPr>
      <w:r>
        <w:rPr>
          <w:rFonts w:ascii="Trebuchet MS" w:hAnsi="Trebuchet MS"/>
          <w:b/>
          <w:sz w:val="24"/>
          <w:szCs w:val="24"/>
        </w:rPr>
        <w:t xml:space="preserve">Approval would </w:t>
      </w:r>
      <w:r w:rsidR="005A3C92">
        <w:rPr>
          <w:rFonts w:ascii="Trebuchet MS" w:hAnsi="Trebuchet MS"/>
          <w:b/>
          <w:sz w:val="24"/>
          <w:szCs w:val="24"/>
        </w:rPr>
        <w:t>be of visual detriment to the townscape setting of the conservation area, would harm the</w:t>
      </w:r>
      <w:r w:rsidR="00A921FB">
        <w:rPr>
          <w:rFonts w:ascii="Trebuchet MS" w:hAnsi="Trebuchet MS"/>
          <w:b/>
          <w:sz w:val="24"/>
          <w:szCs w:val="24"/>
        </w:rPr>
        <w:t xml:space="preserve"> homogenous material appearance</w:t>
      </w:r>
      <w:r w:rsidR="005A3C92">
        <w:rPr>
          <w:rFonts w:ascii="Trebuchet MS" w:hAnsi="Trebuchet MS"/>
          <w:b/>
          <w:sz w:val="24"/>
          <w:szCs w:val="24"/>
        </w:rPr>
        <w:t xml:space="preserve"> of</w:t>
      </w:r>
      <w:r w:rsidR="00A921FB">
        <w:rPr>
          <w:rFonts w:ascii="Trebuchet MS" w:hAnsi="Trebuchet MS"/>
          <w:b/>
          <w:sz w:val="24"/>
          <w:szCs w:val="24"/>
        </w:rPr>
        <w:t xml:space="preserve"> and landscape views across</w:t>
      </w:r>
      <w:r w:rsidR="005A3C92">
        <w:rPr>
          <w:rFonts w:ascii="Trebuchet MS" w:hAnsi="Trebuchet MS"/>
          <w:b/>
          <w:sz w:val="24"/>
          <w:szCs w:val="24"/>
        </w:rPr>
        <w:t xml:space="preserve"> the World Heritage Site, and would harm the landscape setting and associated architectural significance of numerous listed buildings. </w:t>
      </w:r>
    </w:p>
    <w:p w:rsidR="001F72D5" w:rsidRDefault="001F72D5" w:rsidP="00F33FDD">
      <w:pPr>
        <w:spacing w:line="360" w:lineRule="auto"/>
        <w:rPr>
          <w:rFonts w:ascii="Trebuchet MS" w:hAnsi="Trebuchet MS"/>
          <w:b/>
          <w:sz w:val="24"/>
          <w:szCs w:val="24"/>
        </w:rPr>
      </w:pPr>
      <w:r w:rsidRPr="001F72D5">
        <w:rPr>
          <w:rFonts w:ascii="Trebuchet MS" w:hAnsi="Trebuchet MS"/>
          <w:b/>
          <w:sz w:val="24"/>
          <w:szCs w:val="24"/>
        </w:rPr>
        <w:t>This proposal is contrary to local and national planning policy and we therefore urge this Committee to REFUSE this application.</w:t>
      </w:r>
    </w:p>
    <w:sectPr w:rsidR="001F7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B9"/>
    <w:rsid w:val="00043E0C"/>
    <w:rsid w:val="000E75D1"/>
    <w:rsid w:val="001F72D5"/>
    <w:rsid w:val="003313B9"/>
    <w:rsid w:val="00501A71"/>
    <w:rsid w:val="00565C36"/>
    <w:rsid w:val="005A3C92"/>
    <w:rsid w:val="005B3F74"/>
    <w:rsid w:val="00706727"/>
    <w:rsid w:val="00A921FB"/>
    <w:rsid w:val="00BF33D2"/>
    <w:rsid w:val="00C705F1"/>
    <w:rsid w:val="00ED7C0E"/>
    <w:rsid w:val="00F33FDD"/>
    <w:rsid w:val="00F5722D"/>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53501-18DB-434E-B230-5BA3F45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11</cp:revision>
  <dcterms:created xsi:type="dcterms:W3CDTF">2020-12-14T20:56:00Z</dcterms:created>
  <dcterms:modified xsi:type="dcterms:W3CDTF">2022-01-17T11:04:00Z</dcterms:modified>
</cp:coreProperties>
</file>