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36" w:rsidRDefault="00520236" w:rsidP="00520236">
      <w:pPr>
        <w:spacing w:line="360" w:lineRule="auto"/>
        <w:rPr>
          <w:rFonts w:ascii="Trebuchet MS" w:hAnsi="Trebuchet MS"/>
          <w:b/>
          <w:sz w:val="24"/>
          <w:szCs w:val="24"/>
          <w:u w:val="single"/>
        </w:rPr>
      </w:pPr>
      <w:r w:rsidRPr="00520236">
        <w:rPr>
          <w:rFonts w:ascii="Trebuchet MS" w:hAnsi="Trebuchet MS"/>
          <w:b/>
          <w:noProof/>
          <w:sz w:val="24"/>
          <w:szCs w:val="24"/>
          <w:lang w:eastAsia="en-GB"/>
        </w:rPr>
        <w:drawing>
          <wp:inline distT="0" distB="0" distL="0" distR="0" wp14:anchorId="33195485">
            <wp:extent cx="330454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4540" cy="1019175"/>
                    </a:xfrm>
                    <a:prstGeom prst="rect">
                      <a:avLst/>
                    </a:prstGeom>
                    <a:noFill/>
                  </pic:spPr>
                </pic:pic>
              </a:graphicData>
            </a:graphic>
          </wp:inline>
        </w:drawing>
      </w:r>
    </w:p>
    <w:p w:rsidR="00520236" w:rsidRPr="00520236" w:rsidRDefault="00520236" w:rsidP="00520236">
      <w:pPr>
        <w:spacing w:line="360" w:lineRule="auto"/>
        <w:rPr>
          <w:rFonts w:ascii="Trebuchet MS" w:hAnsi="Trebuchet MS"/>
          <w:b/>
          <w:sz w:val="24"/>
          <w:szCs w:val="24"/>
          <w:u w:val="single"/>
        </w:rPr>
      </w:pPr>
      <w:r>
        <w:rPr>
          <w:rFonts w:ascii="Trebuchet MS" w:hAnsi="Trebuchet MS"/>
          <w:b/>
          <w:sz w:val="24"/>
          <w:szCs w:val="24"/>
          <w:u w:val="single"/>
        </w:rPr>
        <w:t xml:space="preserve">Statement to </w:t>
      </w:r>
      <w:r w:rsidRPr="00520236">
        <w:rPr>
          <w:rFonts w:ascii="Trebuchet MS" w:hAnsi="Trebuchet MS"/>
          <w:b/>
          <w:sz w:val="24"/>
          <w:szCs w:val="24"/>
          <w:u w:val="single"/>
        </w:rPr>
        <w:t>Planning Committee 22/09/2021</w:t>
      </w:r>
    </w:p>
    <w:p w:rsidR="005504C1" w:rsidRPr="009D46DA" w:rsidRDefault="005504C1" w:rsidP="009D46DA">
      <w:pPr>
        <w:spacing w:line="360" w:lineRule="auto"/>
        <w:rPr>
          <w:rFonts w:ascii="Trebuchet MS" w:hAnsi="Trebuchet MS"/>
          <w:b/>
          <w:sz w:val="24"/>
          <w:szCs w:val="24"/>
        </w:rPr>
      </w:pPr>
      <w:r w:rsidRPr="009D46DA">
        <w:rPr>
          <w:rFonts w:ascii="Trebuchet MS" w:hAnsi="Trebuchet MS"/>
          <w:b/>
          <w:sz w:val="24"/>
          <w:szCs w:val="24"/>
        </w:rPr>
        <w:t>20/04760/EFUL</w:t>
      </w:r>
    </w:p>
    <w:p w:rsidR="005504C1" w:rsidRPr="00520236" w:rsidRDefault="005504C1" w:rsidP="00520236">
      <w:pPr>
        <w:spacing w:line="276" w:lineRule="auto"/>
        <w:rPr>
          <w:rFonts w:ascii="Trebuchet MS" w:hAnsi="Trebuchet MS"/>
          <w:sz w:val="24"/>
          <w:szCs w:val="24"/>
        </w:rPr>
      </w:pPr>
      <w:r w:rsidRPr="00520236">
        <w:rPr>
          <w:rFonts w:ascii="Trebuchet MS" w:hAnsi="Trebuchet MS"/>
          <w:sz w:val="24"/>
          <w:szCs w:val="24"/>
        </w:rPr>
        <w:t xml:space="preserve">Former Bath Press Premises, Lower Bristol Road, Westmoreland, Bath, Bath </w:t>
      </w:r>
      <w:proofErr w:type="gramStart"/>
      <w:r w:rsidRPr="00520236">
        <w:rPr>
          <w:rFonts w:ascii="Trebuchet MS" w:hAnsi="Trebuchet MS"/>
          <w:sz w:val="24"/>
          <w:szCs w:val="24"/>
        </w:rPr>
        <w:t>And</w:t>
      </w:r>
      <w:proofErr w:type="gramEnd"/>
      <w:r w:rsidRPr="00520236">
        <w:rPr>
          <w:rFonts w:ascii="Trebuchet MS" w:hAnsi="Trebuchet MS"/>
          <w:sz w:val="24"/>
          <w:szCs w:val="24"/>
        </w:rPr>
        <w:t xml:space="preserve"> North East Somerset</w:t>
      </w:r>
    </w:p>
    <w:p w:rsidR="005504C1" w:rsidRPr="009D46DA" w:rsidRDefault="005504C1" w:rsidP="00520236">
      <w:pPr>
        <w:spacing w:line="276" w:lineRule="auto"/>
        <w:rPr>
          <w:rFonts w:ascii="Trebuchet MS" w:hAnsi="Trebuchet MS"/>
          <w:sz w:val="24"/>
          <w:szCs w:val="24"/>
        </w:rPr>
      </w:pPr>
      <w:r w:rsidRPr="00520236">
        <w:rPr>
          <w:rFonts w:ascii="Trebuchet MS" w:hAnsi="Trebuchet MS"/>
          <w:sz w:val="24"/>
          <w:szCs w:val="24"/>
        </w:rPr>
        <w:t>Development of the site to provide a</w:t>
      </w:r>
      <w:r w:rsidRPr="009D46DA">
        <w:rPr>
          <w:rFonts w:ascii="Trebuchet MS" w:hAnsi="Trebuchet MS"/>
          <w:sz w:val="24"/>
          <w:szCs w:val="24"/>
        </w:rPr>
        <w:t xml:space="preserve"> residential-led mixed-use development, comprising 286 residential units (Use Class C3) and provision of commercial floor space at ground floor level (Use Class E), demolition of existing chimney, provision of three substations, together with associ</w:t>
      </w:r>
      <w:bookmarkStart w:id="0" w:name="_GoBack"/>
      <w:bookmarkEnd w:id="0"/>
      <w:r w:rsidRPr="009D46DA">
        <w:rPr>
          <w:rFonts w:ascii="Trebuchet MS" w:hAnsi="Trebuchet MS"/>
          <w:sz w:val="24"/>
          <w:szCs w:val="24"/>
        </w:rPr>
        <w:t>ated infrastructure, landscaping, plant equipment, car and cycle parking, and access.</w:t>
      </w:r>
    </w:p>
    <w:p w:rsidR="005504C1" w:rsidRDefault="005504C1" w:rsidP="009D46DA">
      <w:pPr>
        <w:spacing w:line="360" w:lineRule="auto"/>
        <w:rPr>
          <w:rFonts w:ascii="Trebuchet MS" w:hAnsi="Trebuchet MS"/>
          <w:b/>
          <w:i/>
          <w:sz w:val="24"/>
          <w:szCs w:val="24"/>
        </w:rPr>
      </w:pPr>
      <w:r w:rsidRPr="009D46DA">
        <w:rPr>
          <w:rFonts w:ascii="Trebuchet MS" w:hAnsi="Trebuchet MS"/>
          <w:b/>
          <w:i/>
          <w:sz w:val="24"/>
          <w:szCs w:val="24"/>
        </w:rPr>
        <w:t>Against</w:t>
      </w:r>
    </w:p>
    <w:p w:rsidR="00520236" w:rsidRPr="009D46DA" w:rsidRDefault="00520236" w:rsidP="009D46DA">
      <w:pPr>
        <w:spacing w:line="360" w:lineRule="auto"/>
        <w:rPr>
          <w:rFonts w:ascii="Trebuchet MS" w:hAnsi="Trebuchet MS"/>
          <w:b/>
          <w:i/>
          <w:sz w:val="24"/>
          <w:szCs w:val="24"/>
        </w:rPr>
      </w:pPr>
    </w:p>
    <w:p w:rsidR="005D532F" w:rsidRDefault="005D532F" w:rsidP="009D46DA">
      <w:pPr>
        <w:spacing w:after="200" w:line="360" w:lineRule="auto"/>
        <w:rPr>
          <w:rFonts w:ascii="Trebuchet MS" w:hAnsi="Trebuchet MS"/>
          <w:sz w:val="24"/>
          <w:szCs w:val="24"/>
        </w:rPr>
      </w:pPr>
      <w:r>
        <w:rPr>
          <w:rFonts w:ascii="Trebuchet MS" w:hAnsi="Trebuchet MS"/>
          <w:sz w:val="24"/>
          <w:szCs w:val="24"/>
        </w:rPr>
        <w:t>All that</w:t>
      </w:r>
      <w:r w:rsidR="00155A18">
        <w:rPr>
          <w:rFonts w:ascii="Trebuchet MS" w:hAnsi="Trebuchet MS"/>
          <w:sz w:val="24"/>
          <w:szCs w:val="24"/>
        </w:rPr>
        <w:t>’s left of the Bath Press is it</w:t>
      </w:r>
      <w:r>
        <w:rPr>
          <w:rFonts w:ascii="Trebuchet MS" w:hAnsi="Trebuchet MS"/>
          <w:sz w:val="24"/>
          <w:szCs w:val="24"/>
        </w:rPr>
        <w:t>s</w:t>
      </w:r>
      <w:r w:rsidR="00894342" w:rsidRPr="001116F5">
        <w:rPr>
          <w:rFonts w:ascii="Trebuchet MS" w:hAnsi="Trebuchet MS"/>
          <w:sz w:val="24"/>
          <w:szCs w:val="24"/>
        </w:rPr>
        <w:t xml:space="preserve"> early 20</w:t>
      </w:r>
      <w:r w:rsidR="00894342" w:rsidRPr="001116F5">
        <w:rPr>
          <w:rFonts w:ascii="Trebuchet MS" w:hAnsi="Trebuchet MS"/>
          <w:sz w:val="24"/>
          <w:szCs w:val="24"/>
          <w:vertAlign w:val="superscript"/>
        </w:rPr>
        <w:t>th</w:t>
      </w:r>
      <w:r w:rsidR="00894342" w:rsidRPr="001116F5">
        <w:rPr>
          <w:rFonts w:ascii="Trebuchet MS" w:hAnsi="Trebuchet MS"/>
          <w:sz w:val="24"/>
          <w:szCs w:val="24"/>
        </w:rPr>
        <w:t xml:space="preserve"> century Art Deco façade</w:t>
      </w:r>
      <w:r w:rsidR="00155A18">
        <w:rPr>
          <w:rFonts w:ascii="Trebuchet MS" w:hAnsi="Trebuchet MS"/>
          <w:sz w:val="24"/>
          <w:szCs w:val="24"/>
        </w:rPr>
        <w:t>. A</w:t>
      </w:r>
      <w:r>
        <w:rPr>
          <w:rFonts w:ascii="Trebuchet MS" w:hAnsi="Trebuchet MS"/>
          <w:sz w:val="24"/>
          <w:szCs w:val="24"/>
        </w:rPr>
        <w:t>s such</w:t>
      </w:r>
      <w:r w:rsidR="00155A18">
        <w:rPr>
          <w:rFonts w:ascii="Trebuchet MS" w:hAnsi="Trebuchet MS"/>
          <w:sz w:val="24"/>
          <w:szCs w:val="24"/>
        </w:rPr>
        <w:t>, it</w:t>
      </w:r>
      <w:r>
        <w:rPr>
          <w:rFonts w:ascii="Trebuchet MS" w:hAnsi="Trebuchet MS"/>
          <w:sz w:val="24"/>
          <w:szCs w:val="24"/>
        </w:rPr>
        <w:t xml:space="preserve">s </w:t>
      </w:r>
      <w:r w:rsidRPr="001116F5">
        <w:rPr>
          <w:rFonts w:ascii="Trebuchet MS" w:hAnsi="Trebuchet MS"/>
          <w:sz w:val="24"/>
          <w:szCs w:val="24"/>
        </w:rPr>
        <w:t xml:space="preserve">evidential </w:t>
      </w:r>
      <w:r>
        <w:rPr>
          <w:rFonts w:ascii="Trebuchet MS" w:hAnsi="Trebuchet MS"/>
          <w:sz w:val="24"/>
          <w:szCs w:val="24"/>
        </w:rPr>
        <w:t xml:space="preserve">value as an </w:t>
      </w:r>
      <w:r w:rsidRPr="001116F5">
        <w:rPr>
          <w:rFonts w:ascii="Trebuchet MS" w:hAnsi="Trebuchet MS"/>
          <w:sz w:val="24"/>
          <w:szCs w:val="24"/>
        </w:rPr>
        <w:t>indicator of Bath’s post-19</w:t>
      </w:r>
      <w:r w:rsidRPr="001116F5">
        <w:rPr>
          <w:rFonts w:ascii="Trebuchet MS" w:hAnsi="Trebuchet MS"/>
          <w:sz w:val="24"/>
          <w:szCs w:val="24"/>
          <w:vertAlign w:val="superscript"/>
        </w:rPr>
        <w:t>th</w:t>
      </w:r>
      <w:r w:rsidRPr="001116F5">
        <w:rPr>
          <w:rFonts w:ascii="Trebuchet MS" w:hAnsi="Trebuchet MS"/>
          <w:sz w:val="24"/>
          <w:szCs w:val="24"/>
        </w:rPr>
        <w:t xml:space="preserve"> century industrial history</w:t>
      </w:r>
      <w:r>
        <w:rPr>
          <w:rFonts w:ascii="Trebuchet MS" w:hAnsi="Trebuchet MS"/>
          <w:sz w:val="24"/>
          <w:szCs w:val="24"/>
        </w:rPr>
        <w:t xml:space="preserve"> ought to be cherished and protected. </w:t>
      </w:r>
    </w:p>
    <w:p w:rsidR="00F64E3B" w:rsidRPr="001116F5" w:rsidRDefault="005D532F" w:rsidP="009D46DA">
      <w:pPr>
        <w:spacing w:after="200" w:line="360" w:lineRule="auto"/>
        <w:rPr>
          <w:rFonts w:ascii="Trebuchet MS" w:hAnsi="Trebuchet MS"/>
          <w:sz w:val="24"/>
          <w:szCs w:val="24"/>
        </w:rPr>
      </w:pPr>
      <w:r>
        <w:rPr>
          <w:rFonts w:ascii="Trebuchet MS" w:hAnsi="Trebuchet MS"/>
          <w:sz w:val="24"/>
          <w:szCs w:val="24"/>
        </w:rPr>
        <w:t xml:space="preserve">The </w:t>
      </w:r>
      <w:r w:rsidR="00155A18">
        <w:rPr>
          <w:rFonts w:ascii="Trebuchet MS" w:hAnsi="Trebuchet MS"/>
          <w:sz w:val="24"/>
          <w:szCs w:val="24"/>
        </w:rPr>
        <w:t>street side</w:t>
      </w:r>
      <w:r>
        <w:rPr>
          <w:rFonts w:ascii="Trebuchet MS" w:hAnsi="Trebuchet MS"/>
          <w:sz w:val="24"/>
          <w:szCs w:val="24"/>
        </w:rPr>
        <w:t xml:space="preserve"> </w:t>
      </w:r>
      <w:r w:rsidR="00155A18">
        <w:rPr>
          <w:rFonts w:ascii="Trebuchet MS" w:hAnsi="Trebuchet MS"/>
          <w:sz w:val="24"/>
          <w:szCs w:val="24"/>
        </w:rPr>
        <w:t xml:space="preserve">elevation </w:t>
      </w:r>
      <w:r>
        <w:rPr>
          <w:rFonts w:ascii="Trebuchet MS" w:hAnsi="Trebuchet MS"/>
          <w:sz w:val="24"/>
          <w:szCs w:val="24"/>
        </w:rPr>
        <w:t xml:space="preserve">makes an </w:t>
      </w:r>
      <w:r w:rsidR="00894342" w:rsidRPr="001116F5">
        <w:rPr>
          <w:rFonts w:ascii="Trebuchet MS" w:hAnsi="Trebuchet MS"/>
          <w:sz w:val="24"/>
          <w:szCs w:val="24"/>
        </w:rPr>
        <w:t>important architectural contribution to Lower Bristol R</w:t>
      </w:r>
      <w:r w:rsidR="00155A18">
        <w:rPr>
          <w:rFonts w:ascii="Trebuchet MS" w:hAnsi="Trebuchet MS"/>
          <w:sz w:val="24"/>
          <w:szCs w:val="24"/>
        </w:rPr>
        <w:t>oad’s townscape character and i</w:t>
      </w:r>
      <w:r w:rsidR="00894342" w:rsidRPr="001116F5">
        <w:rPr>
          <w:rFonts w:ascii="Trebuchet MS" w:hAnsi="Trebuchet MS"/>
          <w:sz w:val="24"/>
          <w:szCs w:val="24"/>
        </w:rPr>
        <w:t xml:space="preserve">s </w:t>
      </w:r>
      <w:r w:rsidRPr="001116F5">
        <w:rPr>
          <w:rFonts w:ascii="Trebuchet MS" w:hAnsi="Trebuchet MS"/>
          <w:sz w:val="24"/>
          <w:szCs w:val="24"/>
        </w:rPr>
        <w:t>recognised as a Non-Designated Heritage Asset</w:t>
      </w:r>
      <w:r>
        <w:rPr>
          <w:rFonts w:ascii="Trebuchet MS" w:hAnsi="Trebuchet MS"/>
          <w:sz w:val="24"/>
          <w:szCs w:val="24"/>
        </w:rPr>
        <w:t xml:space="preserve">. </w:t>
      </w:r>
      <w:r w:rsidR="00F64E3B" w:rsidRPr="001116F5">
        <w:rPr>
          <w:rFonts w:ascii="Trebuchet MS" w:hAnsi="Trebuchet MS"/>
          <w:sz w:val="24"/>
          <w:szCs w:val="24"/>
        </w:rPr>
        <w:t xml:space="preserve">The façade has been attributed </w:t>
      </w:r>
      <w:r>
        <w:rPr>
          <w:rFonts w:ascii="Trebuchet MS" w:hAnsi="Trebuchet MS"/>
          <w:sz w:val="24"/>
          <w:szCs w:val="24"/>
        </w:rPr>
        <w:t xml:space="preserve">EVEN </w:t>
      </w:r>
      <w:r w:rsidR="00F64E3B" w:rsidRPr="001116F5">
        <w:rPr>
          <w:rFonts w:ascii="Trebuchet MS" w:hAnsi="Trebuchet MS"/>
          <w:sz w:val="24"/>
          <w:szCs w:val="24"/>
        </w:rPr>
        <w:t xml:space="preserve">greater significance </w:t>
      </w:r>
      <w:r w:rsidR="001116F5">
        <w:rPr>
          <w:rFonts w:ascii="Trebuchet MS" w:hAnsi="Trebuchet MS"/>
          <w:sz w:val="24"/>
          <w:szCs w:val="24"/>
        </w:rPr>
        <w:t>following</w:t>
      </w:r>
      <w:r w:rsidR="00F64E3B" w:rsidRPr="001116F5">
        <w:rPr>
          <w:rFonts w:ascii="Trebuchet MS" w:hAnsi="Trebuchet MS"/>
          <w:sz w:val="24"/>
          <w:szCs w:val="24"/>
        </w:rPr>
        <w:t xml:space="preserve"> clearance of the Press</w:t>
      </w:r>
      <w:r w:rsidR="001116F5">
        <w:rPr>
          <w:rFonts w:ascii="Trebuchet MS" w:hAnsi="Trebuchet MS"/>
          <w:sz w:val="24"/>
          <w:szCs w:val="24"/>
        </w:rPr>
        <w:t xml:space="preserve"> site</w:t>
      </w:r>
      <w:r w:rsidR="00F64E3B" w:rsidRPr="001116F5">
        <w:rPr>
          <w:rFonts w:ascii="Trebuchet MS" w:hAnsi="Trebuchet MS"/>
          <w:sz w:val="24"/>
          <w:szCs w:val="24"/>
        </w:rPr>
        <w:t xml:space="preserve"> in 2017. The chimney is noted as a</w:t>
      </w:r>
      <w:r w:rsidR="00894342" w:rsidRPr="001116F5">
        <w:rPr>
          <w:rFonts w:ascii="Trebuchet MS" w:hAnsi="Trebuchet MS"/>
          <w:sz w:val="24"/>
          <w:szCs w:val="24"/>
        </w:rPr>
        <w:t xml:space="preserve"> feature</w:t>
      </w:r>
      <w:r w:rsidR="00F64E3B" w:rsidRPr="001116F5">
        <w:rPr>
          <w:rFonts w:ascii="Trebuchet MS" w:hAnsi="Trebuchet MS"/>
          <w:sz w:val="24"/>
          <w:szCs w:val="24"/>
        </w:rPr>
        <w:t xml:space="preserve"> of particular interest</w:t>
      </w:r>
      <w:r w:rsidR="00894342" w:rsidRPr="001116F5">
        <w:rPr>
          <w:rFonts w:ascii="Trebuchet MS" w:hAnsi="Trebuchet MS"/>
          <w:sz w:val="24"/>
          <w:szCs w:val="24"/>
        </w:rPr>
        <w:t xml:space="preserve"> </w:t>
      </w:r>
      <w:r w:rsidR="00F64E3B" w:rsidRPr="001116F5">
        <w:rPr>
          <w:rFonts w:ascii="Trebuchet MS" w:hAnsi="Trebuchet MS"/>
          <w:sz w:val="24"/>
          <w:szCs w:val="24"/>
        </w:rPr>
        <w:t>with a strong landmark presence in the streetscape due to its scale, vertical form, and publi</w:t>
      </w:r>
      <w:r>
        <w:rPr>
          <w:rFonts w:ascii="Trebuchet MS" w:hAnsi="Trebuchet MS"/>
          <w:sz w:val="24"/>
          <w:szCs w:val="24"/>
        </w:rPr>
        <w:t xml:space="preserve">c </w:t>
      </w:r>
      <w:r w:rsidR="00F64E3B" w:rsidRPr="001116F5">
        <w:rPr>
          <w:rFonts w:ascii="Trebuchet MS" w:hAnsi="Trebuchet MS"/>
          <w:sz w:val="24"/>
          <w:szCs w:val="24"/>
        </w:rPr>
        <w:t xml:space="preserve">visibility. </w:t>
      </w:r>
    </w:p>
    <w:p w:rsidR="006728D8" w:rsidRPr="001116F5" w:rsidRDefault="00F64E3B" w:rsidP="009D46DA">
      <w:pPr>
        <w:spacing w:line="360" w:lineRule="auto"/>
        <w:rPr>
          <w:rFonts w:ascii="Trebuchet MS" w:hAnsi="Trebuchet MS"/>
          <w:b/>
          <w:sz w:val="24"/>
          <w:szCs w:val="24"/>
          <w:highlight w:val="yellow"/>
        </w:rPr>
      </w:pPr>
      <w:r w:rsidRPr="001116F5">
        <w:rPr>
          <w:rFonts w:ascii="Trebuchet MS" w:hAnsi="Trebuchet MS"/>
          <w:sz w:val="24"/>
          <w:szCs w:val="24"/>
        </w:rPr>
        <w:t xml:space="preserve">The proposed removal of the chimney would therefore </w:t>
      </w:r>
      <w:r w:rsidRPr="005D532F">
        <w:rPr>
          <w:rFonts w:ascii="Trebuchet MS" w:hAnsi="Trebuchet MS"/>
          <w:b/>
          <w:sz w:val="24"/>
          <w:szCs w:val="24"/>
        </w:rPr>
        <w:t>constitute substantial, unjustified harm</w:t>
      </w:r>
      <w:r w:rsidRPr="001116F5">
        <w:rPr>
          <w:rFonts w:ascii="Trebuchet MS" w:hAnsi="Trebuchet MS"/>
          <w:sz w:val="24"/>
          <w:szCs w:val="24"/>
        </w:rPr>
        <w:t xml:space="preserve"> to a Non-Designated Heritage Asset, and </w:t>
      </w:r>
      <w:r w:rsidRPr="005D532F">
        <w:rPr>
          <w:rFonts w:ascii="Trebuchet MS" w:hAnsi="Trebuchet MS"/>
          <w:b/>
          <w:sz w:val="24"/>
          <w:szCs w:val="24"/>
        </w:rPr>
        <w:t xml:space="preserve">harm to </w:t>
      </w:r>
      <w:r w:rsidR="005D532F" w:rsidRPr="005D532F">
        <w:rPr>
          <w:rFonts w:ascii="Trebuchet MS" w:hAnsi="Trebuchet MS"/>
          <w:b/>
          <w:sz w:val="24"/>
          <w:szCs w:val="24"/>
        </w:rPr>
        <w:t>local identity</w:t>
      </w:r>
      <w:r w:rsidR="005D532F">
        <w:rPr>
          <w:rFonts w:ascii="Trebuchet MS" w:hAnsi="Trebuchet MS"/>
          <w:sz w:val="24"/>
          <w:szCs w:val="24"/>
        </w:rPr>
        <w:t xml:space="preserve"> and </w:t>
      </w:r>
      <w:r w:rsidRPr="001116F5">
        <w:rPr>
          <w:rFonts w:ascii="Trebuchet MS" w:hAnsi="Trebuchet MS"/>
          <w:sz w:val="24"/>
          <w:szCs w:val="24"/>
        </w:rPr>
        <w:t xml:space="preserve">distinctiveness due to the removal of a prominent local landmark. </w:t>
      </w:r>
      <w:r w:rsidR="006728D8" w:rsidRPr="001116F5">
        <w:rPr>
          <w:rFonts w:ascii="Trebuchet MS" w:hAnsi="Trebuchet MS"/>
          <w:sz w:val="24"/>
          <w:szCs w:val="24"/>
        </w:rPr>
        <w:t xml:space="preserve">The retention of </w:t>
      </w:r>
      <w:r w:rsidR="005D532F">
        <w:rPr>
          <w:rFonts w:ascii="Trebuchet MS" w:hAnsi="Trebuchet MS"/>
          <w:sz w:val="24"/>
          <w:szCs w:val="24"/>
        </w:rPr>
        <w:t xml:space="preserve">just </w:t>
      </w:r>
      <w:r w:rsidR="00155A18">
        <w:rPr>
          <w:rFonts w:ascii="Trebuchet MS" w:hAnsi="Trebuchet MS"/>
          <w:sz w:val="24"/>
          <w:szCs w:val="24"/>
        </w:rPr>
        <w:t>part of the façade</w:t>
      </w:r>
      <w:r w:rsidR="006728D8" w:rsidRPr="001116F5">
        <w:rPr>
          <w:rFonts w:ascii="Trebuchet MS" w:hAnsi="Trebuchet MS"/>
          <w:sz w:val="24"/>
          <w:szCs w:val="24"/>
        </w:rPr>
        <w:t xml:space="preserve"> does</w:t>
      </w:r>
      <w:r w:rsidR="006728D8" w:rsidRPr="001116F5">
        <w:rPr>
          <w:rFonts w:ascii="Trebuchet MS" w:hAnsi="Trebuchet MS"/>
          <w:b/>
          <w:sz w:val="24"/>
          <w:szCs w:val="24"/>
        </w:rPr>
        <w:t xml:space="preserve"> not </w:t>
      </w:r>
      <w:r w:rsidR="006728D8" w:rsidRPr="001116F5">
        <w:rPr>
          <w:rFonts w:ascii="Trebuchet MS" w:hAnsi="Trebuchet MS"/>
          <w:sz w:val="24"/>
          <w:szCs w:val="24"/>
        </w:rPr>
        <w:t>justify the substantial loss of a sensitive historic featur</w:t>
      </w:r>
      <w:r w:rsidR="005D532F">
        <w:rPr>
          <w:rFonts w:ascii="Trebuchet MS" w:hAnsi="Trebuchet MS"/>
          <w:sz w:val="24"/>
          <w:szCs w:val="24"/>
        </w:rPr>
        <w:t>e,</w:t>
      </w:r>
      <w:r w:rsidR="006728D8" w:rsidRPr="001116F5">
        <w:rPr>
          <w:rFonts w:ascii="Trebuchet MS" w:hAnsi="Trebuchet MS"/>
          <w:sz w:val="24"/>
          <w:szCs w:val="24"/>
        </w:rPr>
        <w:t xml:space="preserve"> </w:t>
      </w:r>
      <w:r w:rsidR="005D532F">
        <w:rPr>
          <w:rFonts w:ascii="Trebuchet MS" w:hAnsi="Trebuchet MS"/>
          <w:sz w:val="24"/>
          <w:szCs w:val="24"/>
        </w:rPr>
        <w:t xml:space="preserve">harm to the </w:t>
      </w:r>
      <w:r w:rsidR="006728D8" w:rsidRPr="001116F5">
        <w:rPr>
          <w:rFonts w:ascii="Trebuchet MS" w:hAnsi="Trebuchet MS"/>
          <w:sz w:val="24"/>
          <w:szCs w:val="24"/>
        </w:rPr>
        <w:t>significance of the heritage asset, or harm to wider townscape character</w:t>
      </w:r>
      <w:r w:rsidR="006728D8" w:rsidRPr="001116F5">
        <w:rPr>
          <w:rFonts w:ascii="Trebuchet MS" w:hAnsi="Trebuchet MS"/>
          <w:b/>
          <w:sz w:val="24"/>
          <w:szCs w:val="24"/>
        </w:rPr>
        <w:t xml:space="preserve">.  </w:t>
      </w:r>
    </w:p>
    <w:p w:rsidR="006728D8" w:rsidRDefault="001116F5" w:rsidP="006728D8">
      <w:pPr>
        <w:spacing w:line="360" w:lineRule="auto"/>
        <w:rPr>
          <w:rFonts w:ascii="Trebuchet MS" w:hAnsi="Trebuchet MS"/>
          <w:sz w:val="24"/>
          <w:szCs w:val="24"/>
        </w:rPr>
      </w:pPr>
      <w:r>
        <w:rPr>
          <w:rFonts w:ascii="Trebuchet MS" w:hAnsi="Trebuchet MS"/>
          <w:sz w:val="24"/>
          <w:szCs w:val="24"/>
        </w:rPr>
        <w:lastRenderedPageBreak/>
        <w:t>Approximately</w:t>
      </w:r>
      <w:r w:rsidR="008D6E1C" w:rsidRPr="001116F5">
        <w:rPr>
          <w:rFonts w:ascii="Trebuchet MS" w:hAnsi="Trebuchet MS"/>
          <w:sz w:val="24"/>
          <w:szCs w:val="24"/>
        </w:rPr>
        <w:t xml:space="preserve"> 4-5 additional apartments are proposed for delivery in place of the chimney. Considering the development’s residential delivery </w:t>
      </w:r>
      <w:r>
        <w:rPr>
          <w:rFonts w:ascii="Trebuchet MS" w:hAnsi="Trebuchet MS"/>
          <w:sz w:val="24"/>
          <w:szCs w:val="24"/>
        </w:rPr>
        <w:t>would exceed</w:t>
      </w:r>
      <w:r w:rsidR="008D6E1C" w:rsidRPr="001116F5">
        <w:rPr>
          <w:rFonts w:ascii="Trebuchet MS" w:hAnsi="Trebuchet MS"/>
          <w:sz w:val="24"/>
          <w:szCs w:val="24"/>
        </w:rPr>
        <w:t xml:space="preserve"> the local plan target of 200 homes for the site, we consider the benefits of an additional 4-5 homes to be limited and would not outwe</w:t>
      </w:r>
      <w:r w:rsidR="00F712E5" w:rsidRPr="001116F5">
        <w:rPr>
          <w:rFonts w:ascii="Trebuchet MS" w:hAnsi="Trebuchet MS"/>
          <w:sz w:val="24"/>
          <w:szCs w:val="24"/>
        </w:rPr>
        <w:t>igh the proposed degree of harm contrary to</w:t>
      </w:r>
      <w:r w:rsidR="008D6E1C" w:rsidRPr="001116F5">
        <w:rPr>
          <w:rFonts w:ascii="Trebuchet MS" w:hAnsi="Trebuchet MS"/>
          <w:sz w:val="24"/>
          <w:szCs w:val="24"/>
        </w:rPr>
        <w:t xml:space="preserve"> </w:t>
      </w:r>
      <w:r w:rsidR="00F712E5" w:rsidRPr="001116F5">
        <w:rPr>
          <w:rFonts w:ascii="Trebuchet MS" w:hAnsi="Trebuchet MS"/>
          <w:sz w:val="24"/>
          <w:szCs w:val="24"/>
        </w:rPr>
        <w:t>paragraph 197 of the NPPF</w:t>
      </w:r>
      <w:r w:rsidR="00D05A71">
        <w:rPr>
          <w:rFonts w:ascii="Trebuchet MS" w:hAnsi="Trebuchet MS"/>
          <w:sz w:val="24"/>
          <w:szCs w:val="24"/>
        </w:rPr>
        <w:t>.</w:t>
      </w:r>
    </w:p>
    <w:p w:rsidR="00D05A71" w:rsidRPr="001116F5" w:rsidRDefault="00D05A71" w:rsidP="00D05A71">
      <w:pPr>
        <w:spacing w:line="360" w:lineRule="auto"/>
        <w:rPr>
          <w:rFonts w:ascii="Trebuchet MS" w:hAnsi="Trebuchet MS"/>
          <w:sz w:val="24"/>
          <w:szCs w:val="24"/>
        </w:rPr>
      </w:pPr>
      <w:r>
        <w:rPr>
          <w:rFonts w:ascii="Trebuchet MS" w:hAnsi="Trebuchet MS"/>
          <w:sz w:val="24"/>
          <w:szCs w:val="24"/>
        </w:rPr>
        <w:t>The absence of affordable housing from the scheme is contrary to Policy CP9, and an unacceptable drop from the 16% provision secured in the 2015 permit,</w:t>
      </w:r>
      <w:r w:rsidRPr="00D05A71">
        <w:rPr>
          <w:rFonts w:ascii="Trebuchet MS" w:hAnsi="Trebuchet MS"/>
          <w:sz w:val="24"/>
          <w:szCs w:val="24"/>
        </w:rPr>
        <w:t xml:space="preserve"> already a significant reduction from the </w:t>
      </w:r>
      <w:r>
        <w:rPr>
          <w:rFonts w:ascii="Trebuchet MS" w:hAnsi="Trebuchet MS"/>
          <w:sz w:val="24"/>
          <w:szCs w:val="24"/>
        </w:rPr>
        <w:t>anticipated</w:t>
      </w:r>
      <w:r w:rsidRPr="00D05A71">
        <w:rPr>
          <w:rFonts w:ascii="Trebuchet MS" w:hAnsi="Trebuchet MS"/>
          <w:sz w:val="24"/>
          <w:szCs w:val="24"/>
        </w:rPr>
        <w:t xml:space="preserve"> provision of 30%.</w:t>
      </w:r>
      <w:r>
        <w:rPr>
          <w:rFonts w:ascii="Trebuchet MS" w:hAnsi="Trebuchet MS"/>
          <w:sz w:val="24"/>
          <w:szCs w:val="24"/>
        </w:rPr>
        <w:t xml:space="preserve"> T</w:t>
      </w:r>
      <w:r w:rsidRPr="00D05A71">
        <w:rPr>
          <w:rFonts w:ascii="Trebuchet MS" w:hAnsi="Trebuchet MS"/>
          <w:sz w:val="24"/>
          <w:szCs w:val="24"/>
        </w:rPr>
        <w:t>here is no indication as to how the viability of housing provision on the site has changed since approval in 2016</w:t>
      </w:r>
      <w:r>
        <w:rPr>
          <w:rFonts w:ascii="Trebuchet MS" w:hAnsi="Trebuchet MS"/>
          <w:sz w:val="24"/>
          <w:szCs w:val="24"/>
        </w:rPr>
        <w:t xml:space="preserve">. </w:t>
      </w:r>
    </w:p>
    <w:p w:rsidR="00A17BC8" w:rsidRPr="00155A18" w:rsidRDefault="00A17BC8" w:rsidP="00A17BC8">
      <w:pPr>
        <w:spacing w:line="360" w:lineRule="auto"/>
        <w:rPr>
          <w:rFonts w:ascii="Trebuchet MS" w:hAnsi="Trebuchet MS"/>
          <w:b/>
          <w:strike/>
          <w:sz w:val="24"/>
          <w:szCs w:val="24"/>
        </w:rPr>
      </w:pPr>
      <w:r w:rsidRPr="00155A18">
        <w:rPr>
          <w:rFonts w:ascii="Trebuchet MS" w:hAnsi="Trebuchet MS"/>
          <w:b/>
          <w:sz w:val="24"/>
          <w:szCs w:val="24"/>
        </w:rPr>
        <w:t xml:space="preserve">The development as proposed would </w:t>
      </w:r>
      <w:r w:rsidR="008D6E1C" w:rsidRPr="00155A18">
        <w:rPr>
          <w:rFonts w:ascii="Trebuchet MS" w:hAnsi="Trebuchet MS"/>
          <w:b/>
          <w:sz w:val="24"/>
          <w:szCs w:val="24"/>
        </w:rPr>
        <w:t>result</w:t>
      </w:r>
      <w:r w:rsidR="005D532F" w:rsidRPr="00155A18">
        <w:rPr>
          <w:rFonts w:ascii="Trebuchet MS" w:hAnsi="Trebuchet MS"/>
          <w:b/>
          <w:sz w:val="24"/>
          <w:szCs w:val="24"/>
        </w:rPr>
        <w:t xml:space="preserve"> </w:t>
      </w:r>
      <w:r w:rsidR="00155A18" w:rsidRPr="00155A18">
        <w:rPr>
          <w:rFonts w:ascii="Trebuchet MS" w:hAnsi="Trebuchet MS"/>
          <w:b/>
          <w:sz w:val="24"/>
          <w:szCs w:val="24"/>
        </w:rPr>
        <w:t xml:space="preserve">in </w:t>
      </w:r>
      <w:r w:rsidR="005D532F" w:rsidRPr="00155A18">
        <w:rPr>
          <w:rFonts w:ascii="Trebuchet MS" w:hAnsi="Trebuchet MS"/>
          <w:b/>
          <w:sz w:val="24"/>
          <w:szCs w:val="24"/>
        </w:rPr>
        <w:t>the</w:t>
      </w:r>
      <w:r w:rsidR="008D6E1C" w:rsidRPr="00155A18">
        <w:rPr>
          <w:rFonts w:ascii="Trebuchet MS" w:hAnsi="Trebuchet MS"/>
          <w:b/>
          <w:sz w:val="24"/>
          <w:szCs w:val="24"/>
        </w:rPr>
        <w:t xml:space="preserve"> </w:t>
      </w:r>
      <w:r w:rsidR="005D532F" w:rsidRPr="00155A18">
        <w:rPr>
          <w:rFonts w:ascii="Trebuchet MS" w:hAnsi="Trebuchet MS"/>
          <w:b/>
          <w:sz w:val="24"/>
          <w:szCs w:val="24"/>
        </w:rPr>
        <w:t>substantial loss of architectural and historic significance</w:t>
      </w:r>
      <w:r w:rsidR="00155A18" w:rsidRPr="00155A18">
        <w:rPr>
          <w:rFonts w:ascii="Trebuchet MS" w:hAnsi="Trebuchet MS"/>
          <w:b/>
          <w:sz w:val="24"/>
          <w:szCs w:val="24"/>
        </w:rPr>
        <w:t xml:space="preserve"> and consequent </w:t>
      </w:r>
      <w:r w:rsidR="008D6E1C" w:rsidRPr="00155A18">
        <w:rPr>
          <w:rFonts w:ascii="Trebuchet MS" w:hAnsi="Trebuchet MS"/>
          <w:b/>
          <w:sz w:val="24"/>
          <w:szCs w:val="24"/>
        </w:rPr>
        <w:t xml:space="preserve">unjustified, unbalanced harm to a Non-Designated Heritage Asset, </w:t>
      </w:r>
      <w:r w:rsidR="005D532F" w:rsidRPr="00155A18">
        <w:rPr>
          <w:rFonts w:ascii="Trebuchet MS" w:hAnsi="Trebuchet MS"/>
          <w:b/>
          <w:sz w:val="24"/>
          <w:szCs w:val="24"/>
        </w:rPr>
        <w:t>without appropriate justification or mitigation,</w:t>
      </w:r>
      <w:r w:rsidR="00155A18" w:rsidRPr="00155A18">
        <w:rPr>
          <w:rFonts w:ascii="Trebuchet MS" w:hAnsi="Trebuchet MS"/>
          <w:b/>
          <w:sz w:val="24"/>
          <w:szCs w:val="24"/>
        </w:rPr>
        <w:t xml:space="preserve"> would</w:t>
      </w:r>
      <w:r w:rsidR="005D532F" w:rsidRPr="00155A18">
        <w:rPr>
          <w:rFonts w:ascii="Trebuchet MS" w:hAnsi="Trebuchet MS"/>
          <w:b/>
          <w:sz w:val="24"/>
          <w:szCs w:val="24"/>
        </w:rPr>
        <w:t xml:space="preserve"> </w:t>
      </w:r>
      <w:r w:rsidR="008D6E1C" w:rsidRPr="00155A18">
        <w:rPr>
          <w:rFonts w:ascii="Trebuchet MS" w:hAnsi="Trebuchet MS"/>
          <w:b/>
          <w:sz w:val="24"/>
          <w:szCs w:val="24"/>
        </w:rPr>
        <w:t xml:space="preserve">harm local townscape character and distinctiveness, and </w:t>
      </w:r>
      <w:r w:rsidR="00155A18" w:rsidRPr="00155A18">
        <w:rPr>
          <w:rFonts w:ascii="Trebuchet MS" w:hAnsi="Trebuchet MS"/>
          <w:b/>
          <w:sz w:val="24"/>
          <w:szCs w:val="24"/>
        </w:rPr>
        <w:t xml:space="preserve">would </w:t>
      </w:r>
      <w:r w:rsidR="008D6E1C" w:rsidRPr="00155A18">
        <w:rPr>
          <w:rFonts w:ascii="Trebuchet MS" w:hAnsi="Trebuchet MS"/>
          <w:b/>
          <w:sz w:val="24"/>
          <w:szCs w:val="24"/>
        </w:rPr>
        <w:t>harm the indicative setting of the conservation area.</w:t>
      </w:r>
      <w:r w:rsidRPr="00155A18">
        <w:rPr>
          <w:rFonts w:ascii="Trebuchet MS" w:hAnsi="Trebuchet MS"/>
          <w:b/>
          <w:sz w:val="24"/>
          <w:szCs w:val="24"/>
        </w:rPr>
        <w:t xml:space="preserve"> We therefore call for this application to be refused.</w:t>
      </w:r>
      <w:r w:rsidRPr="00155A18">
        <w:rPr>
          <w:b/>
          <w:sz w:val="24"/>
          <w:szCs w:val="24"/>
        </w:rPr>
        <w:t xml:space="preserve"> </w:t>
      </w:r>
    </w:p>
    <w:p w:rsidR="00A17BC8" w:rsidRDefault="00A17BC8" w:rsidP="006728D8">
      <w:pPr>
        <w:spacing w:line="360" w:lineRule="auto"/>
        <w:rPr>
          <w:rFonts w:ascii="Trebuchet MS" w:hAnsi="Trebuchet MS"/>
        </w:rPr>
      </w:pPr>
    </w:p>
    <w:p w:rsidR="00811697" w:rsidRDefault="00811697"/>
    <w:sectPr w:rsidR="00811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C1"/>
    <w:rsid w:val="001116F5"/>
    <w:rsid w:val="00155A18"/>
    <w:rsid w:val="00520236"/>
    <w:rsid w:val="005504C1"/>
    <w:rsid w:val="005827BD"/>
    <w:rsid w:val="005B3F74"/>
    <w:rsid w:val="005D532F"/>
    <w:rsid w:val="006728D8"/>
    <w:rsid w:val="006E26CC"/>
    <w:rsid w:val="00811697"/>
    <w:rsid w:val="00894342"/>
    <w:rsid w:val="008D6E1C"/>
    <w:rsid w:val="009D46DA"/>
    <w:rsid w:val="00A17BC8"/>
    <w:rsid w:val="00C371A4"/>
    <w:rsid w:val="00D05A71"/>
    <w:rsid w:val="00F35A4F"/>
    <w:rsid w:val="00F64E3B"/>
    <w:rsid w:val="00F712E5"/>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8F755-D3C9-46FF-AA6D-2B89C18F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3</cp:revision>
  <dcterms:created xsi:type="dcterms:W3CDTF">2021-09-16T12:50:00Z</dcterms:created>
  <dcterms:modified xsi:type="dcterms:W3CDTF">2022-01-17T09:49:00Z</dcterms:modified>
</cp:coreProperties>
</file>