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F744" w14:textId="35F1A251" w:rsidR="00A919E3" w:rsidRDefault="00FD1551" w:rsidP="00FD1551">
      <w:pPr>
        <w:spacing w:line="240" w:lineRule="auto"/>
        <w:rPr>
          <w:rFonts w:ascii="Trebuchet MS" w:eastAsia="Times New Roman" w:hAnsi="Trebuchet MS" w:cs="Calibri"/>
          <w:b/>
          <w:color w:val="000000"/>
          <w:lang w:eastAsia="en-GB"/>
        </w:rPr>
      </w:pPr>
      <w:r>
        <w:rPr>
          <w:rFonts w:ascii="Trebuchet MS" w:eastAsia="Times New Roman" w:hAnsi="Trebuchet MS" w:cs="Calibri"/>
          <w:b/>
          <w:noProof/>
          <w:color w:val="000000"/>
          <w:lang w:eastAsia="en-GB"/>
        </w:rPr>
        <w:drawing>
          <wp:inline distT="0" distB="0" distL="0" distR="0" wp14:anchorId="0339C2D6" wp14:editId="68D45C9B">
            <wp:extent cx="330454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390C96" w14:textId="6BCEBAF0" w:rsidR="00FD1551" w:rsidRPr="00FD1551" w:rsidRDefault="00FD1551" w:rsidP="00FD1551">
      <w:pPr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FD1551">
        <w:rPr>
          <w:rFonts w:ascii="Trebuchet MS" w:hAnsi="Trebuchet MS"/>
          <w:b/>
          <w:sz w:val="24"/>
          <w:szCs w:val="24"/>
          <w:u w:val="single"/>
        </w:rPr>
        <w:t xml:space="preserve">Statement to </w:t>
      </w:r>
      <w:r w:rsidRPr="00FD1551">
        <w:rPr>
          <w:rFonts w:ascii="Trebuchet MS" w:hAnsi="Trebuchet MS"/>
          <w:b/>
          <w:sz w:val="24"/>
          <w:szCs w:val="24"/>
          <w:u w:val="single"/>
        </w:rPr>
        <w:t>Planning Committee 05/05/2021</w:t>
      </w:r>
    </w:p>
    <w:p w14:paraId="0F38D517" w14:textId="6B10E0F3" w:rsidR="003107B1" w:rsidRPr="00FD1551" w:rsidRDefault="0014535A" w:rsidP="00FD1551">
      <w:pPr>
        <w:spacing w:line="240" w:lineRule="auto"/>
        <w:rPr>
          <w:rFonts w:ascii="Trebuchet MS" w:eastAsia="Times New Roman" w:hAnsi="Trebuchet MS" w:cs="Calibri"/>
          <w:b/>
          <w:color w:val="000000"/>
          <w:sz w:val="24"/>
          <w:szCs w:val="24"/>
          <w:lang w:eastAsia="en-GB"/>
        </w:rPr>
      </w:pPr>
      <w:r w:rsidRPr="00FD1551">
        <w:rPr>
          <w:rFonts w:ascii="Trebuchet MS" w:eastAsia="Times New Roman" w:hAnsi="Trebuchet MS" w:cs="Calibri"/>
          <w:b/>
          <w:color w:val="000000"/>
          <w:sz w:val="24"/>
          <w:szCs w:val="24"/>
          <w:lang w:eastAsia="en-GB"/>
        </w:rPr>
        <w:t>20/00552/FUL</w:t>
      </w:r>
    </w:p>
    <w:p w14:paraId="12537D2B" w14:textId="77777777" w:rsidR="00BB0CB9" w:rsidRPr="00FD1551" w:rsidRDefault="00BB0CB9" w:rsidP="00BB0CB9">
      <w:pPr>
        <w:rPr>
          <w:rFonts w:ascii="Trebuchet MS" w:hAnsi="Trebuchet MS"/>
          <w:sz w:val="24"/>
          <w:szCs w:val="24"/>
        </w:rPr>
      </w:pPr>
      <w:r w:rsidRPr="00FD1551">
        <w:rPr>
          <w:rFonts w:ascii="Trebuchet MS" w:hAnsi="Trebuchet MS"/>
          <w:sz w:val="24"/>
          <w:szCs w:val="24"/>
        </w:rPr>
        <w:t xml:space="preserve">The Scala Shaftesbury Road Oldfield Park Bath BA2 3LH  </w:t>
      </w:r>
    </w:p>
    <w:p w14:paraId="27F59BBC" w14:textId="77777777" w:rsidR="00BB0CB9" w:rsidRPr="00FD1551" w:rsidRDefault="00BB0CB9" w:rsidP="00BB0CB9">
      <w:pPr>
        <w:rPr>
          <w:rFonts w:ascii="Trebuchet MS" w:hAnsi="Trebuchet MS"/>
          <w:sz w:val="24"/>
          <w:szCs w:val="24"/>
        </w:rPr>
      </w:pPr>
      <w:r w:rsidRPr="00FD1551">
        <w:rPr>
          <w:rFonts w:ascii="Trebuchet MS" w:hAnsi="Trebuchet MS"/>
          <w:sz w:val="24"/>
          <w:szCs w:val="24"/>
        </w:rPr>
        <w:t>Redevelopment of The Scala site includin</w:t>
      </w:r>
      <w:bookmarkStart w:id="0" w:name="_GoBack"/>
      <w:bookmarkEnd w:id="0"/>
      <w:r w:rsidRPr="00FD1551">
        <w:rPr>
          <w:rFonts w:ascii="Trebuchet MS" w:hAnsi="Trebuchet MS"/>
          <w:sz w:val="24"/>
          <w:szCs w:val="24"/>
        </w:rPr>
        <w:t xml:space="preserve">g the demolition of existing extensions and new extensions to improve retail store at ground floor level, provide a new community space at first floor levels and 20no apartments across first and second floor. Erection of student accommodation including 96no. </w:t>
      </w:r>
      <w:proofErr w:type="gramStart"/>
      <w:r w:rsidRPr="00FD1551">
        <w:rPr>
          <w:rFonts w:ascii="Trebuchet MS" w:hAnsi="Trebuchet MS"/>
          <w:sz w:val="24"/>
          <w:szCs w:val="24"/>
        </w:rPr>
        <w:t>student</w:t>
      </w:r>
      <w:proofErr w:type="gramEnd"/>
      <w:r w:rsidRPr="00FD1551">
        <w:rPr>
          <w:rFonts w:ascii="Trebuchet MS" w:hAnsi="Trebuchet MS"/>
          <w:sz w:val="24"/>
          <w:szCs w:val="24"/>
        </w:rPr>
        <w:t xml:space="preserve"> bedrooms and associated ancillary space. Erection of a residential block (C3) including 12no one bedroom apartments (a mix of affordable and market with accessible accommodation). Parking for cars and cycles and associated landscaping. </w:t>
      </w:r>
    </w:p>
    <w:p w14:paraId="3104453B" w14:textId="1AE544D1" w:rsidR="008555DE" w:rsidRPr="00FD1551" w:rsidRDefault="008555DE" w:rsidP="008555DE">
      <w:pPr>
        <w:rPr>
          <w:rFonts w:ascii="Trebuchet MS" w:hAnsi="Trebuchet MS"/>
          <w:b/>
          <w:i/>
          <w:sz w:val="24"/>
          <w:szCs w:val="24"/>
        </w:rPr>
      </w:pPr>
      <w:r w:rsidRPr="00FD1551">
        <w:rPr>
          <w:rFonts w:ascii="Trebuchet MS" w:hAnsi="Trebuchet MS"/>
          <w:b/>
          <w:i/>
          <w:sz w:val="24"/>
          <w:szCs w:val="24"/>
        </w:rPr>
        <w:t>Against</w:t>
      </w:r>
    </w:p>
    <w:p w14:paraId="402CC30A" w14:textId="77777777" w:rsidR="008555DE" w:rsidRPr="00FD1551" w:rsidRDefault="008555DE" w:rsidP="00DE6B0D">
      <w:pPr>
        <w:spacing w:line="360" w:lineRule="auto"/>
        <w:rPr>
          <w:rFonts w:ascii="Trebuchet MS" w:hAnsi="Trebuchet MS"/>
          <w:sz w:val="24"/>
          <w:szCs w:val="24"/>
        </w:rPr>
      </w:pPr>
    </w:p>
    <w:p w14:paraId="0BACA341" w14:textId="4A7664DE" w:rsidR="00E60A0A" w:rsidRPr="00FD1551" w:rsidRDefault="005B6F5C" w:rsidP="00DE6B0D">
      <w:pPr>
        <w:spacing w:line="360" w:lineRule="auto"/>
        <w:rPr>
          <w:rFonts w:ascii="Trebuchet MS" w:hAnsi="Trebuchet MS"/>
          <w:sz w:val="24"/>
          <w:szCs w:val="24"/>
        </w:rPr>
      </w:pPr>
      <w:r w:rsidRPr="00FD1551">
        <w:rPr>
          <w:rFonts w:ascii="Trebuchet MS" w:hAnsi="Trebuchet MS"/>
          <w:sz w:val="24"/>
          <w:szCs w:val="24"/>
        </w:rPr>
        <w:t>The</w:t>
      </w:r>
      <w:r w:rsidR="00434057" w:rsidRPr="00FD1551">
        <w:rPr>
          <w:rFonts w:ascii="Trebuchet MS" w:hAnsi="Trebuchet MS"/>
          <w:sz w:val="24"/>
          <w:szCs w:val="24"/>
        </w:rPr>
        <w:t xml:space="preserve"> </w:t>
      </w:r>
      <w:r w:rsidR="0094424D" w:rsidRPr="00FD1551">
        <w:rPr>
          <w:rFonts w:ascii="Trebuchet MS" w:hAnsi="Trebuchet MS"/>
          <w:sz w:val="24"/>
          <w:szCs w:val="24"/>
        </w:rPr>
        <w:t xml:space="preserve">Trust is supportive </w:t>
      </w:r>
      <w:r w:rsidRPr="00FD1551">
        <w:rPr>
          <w:rFonts w:ascii="Trebuchet MS" w:hAnsi="Trebuchet MS"/>
          <w:sz w:val="24"/>
          <w:szCs w:val="24"/>
        </w:rPr>
        <w:t>in</w:t>
      </w:r>
      <w:r w:rsidR="0094424D" w:rsidRPr="00FD1551">
        <w:rPr>
          <w:rFonts w:ascii="Trebuchet MS" w:hAnsi="Trebuchet MS"/>
          <w:sz w:val="24"/>
          <w:szCs w:val="24"/>
        </w:rPr>
        <w:t xml:space="preserve"> principle of mix</w:t>
      </w:r>
      <w:r w:rsidR="002202E3" w:rsidRPr="00FD1551">
        <w:rPr>
          <w:rFonts w:ascii="Trebuchet MS" w:hAnsi="Trebuchet MS"/>
          <w:sz w:val="24"/>
          <w:szCs w:val="24"/>
        </w:rPr>
        <w:t>ed-use development on this site and we welcomed the</w:t>
      </w:r>
      <w:r w:rsidR="00E60A0A" w:rsidRPr="00FD1551">
        <w:rPr>
          <w:rFonts w:ascii="Trebuchet MS" w:hAnsi="Trebuchet MS"/>
          <w:sz w:val="24"/>
          <w:szCs w:val="24"/>
        </w:rPr>
        <w:t xml:space="preserve"> revisions to the development design.</w:t>
      </w:r>
    </w:p>
    <w:p w14:paraId="3E791368" w14:textId="0E0514A7" w:rsidR="000E5C5C" w:rsidRPr="00FD1551" w:rsidRDefault="00434057" w:rsidP="000E5C5C">
      <w:pPr>
        <w:spacing w:line="360" w:lineRule="auto"/>
        <w:rPr>
          <w:rFonts w:ascii="Trebuchet MS" w:hAnsi="Trebuchet MS"/>
          <w:sz w:val="24"/>
          <w:szCs w:val="24"/>
          <w:highlight w:val="yellow"/>
        </w:rPr>
      </w:pPr>
      <w:r w:rsidRPr="00FD1551">
        <w:rPr>
          <w:rFonts w:ascii="Trebuchet MS" w:hAnsi="Trebuchet MS"/>
          <w:sz w:val="24"/>
          <w:szCs w:val="24"/>
        </w:rPr>
        <w:t>However, t</w:t>
      </w:r>
      <w:r w:rsidR="000E5C5C" w:rsidRPr="00FD1551">
        <w:rPr>
          <w:rFonts w:ascii="Trebuchet MS" w:hAnsi="Trebuchet MS"/>
          <w:sz w:val="24"/>
          <w:szCs w:val="24"/>
        </w:rPr>
        <w:t>he</w:t>
      </w:r>
      <w:r w:rsidR="00D318A7" w:rsidRPr="00FD1551">
        <w:rPr>
          <w:rFonts w:ascii="Trebuchet MS" w:hAnsi="Trebuchet MS"/>
          <w:sz w:val="24"/>
          <w:szCs w:val="24"/>
        </w:rPr>
        <w:t xml:space="preserve"> </w:t>
      </w:r>
      <w:r w:rsidR="00BD5D09" w:rsidRPr="00FD1551">
        <w:rPr>
          <w:rFonts w:ascii="Trebuchet MS" w:hAnsi="Trebuchet MS"/>
          <w:sz w:val="24"/>
          <w:szCs w:val="24"/>
        </w:rPr>
        <w:t>proposed</w:t>
      </w:r>
      <w:r w:rsidR="00D318A7" w:rsidRPr="00FD1551">
        <w:rPr>
          <w:rFonts w:ascii="Trebuchet MS" w:hAnsi="Trebuchet MS"/>
          <w:sz w:val="24"/>
          <w:szCs w:val="24"/>
        </w:rPr>
        <w:t xml:space="preserve"> height and</w:t>
      </w:r>
      <w:r w:rsidR="00BD5D09" w:rsidRPr="00FD1551">
        <w:rPr>
          <w:rFonts w:ascii="Trebuchet MS" w:hAnsi="Trebuchet MS"/>
          <w:sz w:val="24"/>
          <w:szCs w:val="24"/>
        </w:rPr>
        <w:t xml:space="preserve"> scale </w:t>
      </w:r>
      <w:r w:rsidR="00D318A7" w:rsidRPr="00FD1551">
        <w:rPr>
          <w:rFonts w:ascii="Trebuchet MS" w:hAnsi="Trebuchet MS"/>
          <w:sz w:val="24"/>
          <w:szCs w:val="24"/>
        </w:rPr>
        <w:t>of</w:t>
      </w:r>
      <w:r w:rsidR="00BD5D09" w:rsidRPr="00FD1551">
        <w:rPr>
          <w:rFonts w:ascii="Trebuchet MS" w:hAnsi="Trebuchet MS"/>
          <w:sz w:val="24"/>
          <w:szCs w:val="24"/>
        </w:rPr>
        <w:t xml:space="preserve"> the four</w:t>
      </w:r>
      <w:r w:rsidRPr="00FD1551">
        <w:rPr>
          <w:rFonts w:ascii="Trebuchet MS" w:hAnsi="Trebuchet MS"/>
          <w:sz w:val="24"/>
          <w:szCs w:val="24"/>
        </w:rPr>
        <w:t>-</w:t>
      </w:r>
      <w:r w:rsidR="00BD5D09" w:rsidRPr="00FD1551">
        <w:rPr>
          <w:rFonts w:ascii="Trebuchet MS" w:hAnsi="Trebuchet MS"/>
          <w:sz w:val="24"/>
          <w:szCs w:val="24"/>
        </w:rPr>
        <w:t xml:space="preserve">storey central courtyard building remains out of </w:t>
      </w:r>
      <w:r w:rsidR="00C43F26" w:rsidRPr="00FD1551">
        <w:rPr>
          <w:rFonts w:ascii="Trebuchet MS" w:hAnsi="Trebuchet MS"/>
          <w:sz w:val="24"/>
          <w:szCs w:val="24"/>
        </w:rPr>
        <w:t>character</w:t>
      </w:r>
      <w:r w:rsidR="00BD5D09" w:rsidRPr="00FD1551">
        <w:rPr>
          <w:rFonts w:ascii="Trebuchet MS" w:hAnsi="Trebuchet MS"/>
          <w:sz w:val="24"/>
          <w:szCs w:val="24"/>
        </w:rPr>
        <w:t xml:space="preserve"> with the established roofline of the Oldfield Park character area</w:t>
      </w:r>
      <w:r w:rsidR="000E5C5C" w:rsidRPr="00FD1551">
        <w:rPr>
          <w:rFonts w:ascii="Trebuchet MS" w:hAnsi="Trebuchet MS"/>
          <w:sz w:val="24"/>
          <w:szCs w:val="24"/>
        </w:rPr>
        <w:t xml:space="preserve"> and the setting of the conservation area. </w:t>
      </w:r>
      <w:r w:rsidRPr="00FD1551">
        <w:rPr>
          <w:rFonts w:ascii="Trebuchet MS" w:hAnsi="Trebuchet MS"/>
          <w:sz w:val="24"/>
          <w:szCs w:val="24"/>
        </w:rPr>
        <w:t xml:space="preserve">The site is visible in mid-range elevated townscape views, and the </w:t>
      </w:r>
      <w:r w:rsidR="002202E3" w:rsidRPr="00FD1551">
        <w:rPr>
          <w:rFonts w:ascii="Trebuchet MS" w:hAnsi="Trebuchet MS"/>
          <w:sz w:val="24"/>
          <w:szCs w:val="24"/>
        </w:rPr>
        <w:t>c</w:t>
      </w:r>
      <w:r w:rsidR="000E5C5C" w:rsidRPr="00FD1551">
        <w:rPr>
          <w:rFonts w:ascii="Trebuchet MS" w:hAnsi="Trebuchet MS"/>
          <w:sz w:val="24"/>
          <w:szCs w:val="24"/>
        </w:rPr>
        <w:t xml:space="preserve">ourtyard building would </w:t>
      </w:r>
      <w:r w:rsidRPr="00FD1551">
        <w:rPr>
          <w:rFonts w:ascii="Trebuchet MS" w:hAnsi="Trebuchet MS"/>
          <w:sz w:val="24"/>
          <w:szCs w:val="24"/>
        </w:rPr>
        <w:t xml:space="preserve">have an overbearing impact on </w:t>
      </w:r>
      <w:r w:rsidR="005B6F5C" w:rsidRPr="00FD1551">
        <w:rPr>
          <w:rFonts w:ascii="Trebuchet MS" w:hAnsi="Trebuchet MS"/>
          <w:sz w:val="24"/>
          <w:szCs w:val="24"/>
        </w:rPr>
        <w:t>its</w:t>
      </w:r>
      <w:r w:rsidRPr="00FD1551">
        <w:rPr>
          <w:rFonts w:ascii="Trebuchet MS" w:hAnsi="Trebuchet MS"/>
          <w:sz w:val="24"/>
          <w:szCs w:val="24"/>
        </w:rPr>
        <w:t xml:space="preserve"> two-storey </w:t>
      </w:r>
      <w:r w:rsidR="000E5C5C" w:rsidRPr="00FD1551">
        <w:rPr>
          <w:rFonts w:ascii="Trebuchet MS" w:hAnsi="Trebuchet MS"/>
          <w:sz w:val="24"/>
          <w:szCs w:val="24"/>
        </w:rPr>
        <w:t xml:space="preserve">residential context. </w:t>
      </w:r>
    </w:p>
    <w:p w14:paraId="04E7EFB7" w14:textId="577EA1F4" w:rsidR="00434057" w:rsidRPr="00FD1551" w:rsidRDefault="008D686A" w:rsidP="000E5C5C">
      <w:pPr>
        <w:spacing w:line="360" w:lineRule="auto"/>
        <w:rPr>
          <w:rFonts w:ascii="Trebuchet MS" w:hAnsi="Trebuchet MS"/>
          <w:sz w:val="24"/>
          <w:szCs w:val="24"/>
        </w:rPr>
      </w:pPr>
      <w:r w:rsidRPr="00FD1551">
        <w:rPr>
          <w:rFonts w:ascii="Trebuchet MS" w:hAnsi="Trebuchet MS"/>
          <w:sz w:val="24"/>
          <w:szCs w:val="24"/>
        </w:rPr>
        <w:t xml:space="preserve">Character </w:t>
      </w:r>
      <w:r w:rsidR="00C43F26" w:rsidRPr="00FD1551">
        <w:rPr>
          <w:rFonts w:ascii="Trebuchet MS" w:hAnsi="Trebuchet MS"/>
          <w:sz w:val="24"/>
          <w:szCs w:val="24"/>
        </w:rPr>
        <w:t>as</w:t>
      </w:r>
      <w:r w:rsidR="000E5C5C" w:rsidRPr="00FD1551">
        <w:rPr>
          <w:rFonts w:ascii="Trebuchet MS" w:hAnsi="Trebuchet MS"/>
          <w:sz w:val="24"/>
          <w:szCs w:val="24"/>
        </w:rPr>
        <w:t>sets</w:t>
      </w:r>
      <w:r w:rsidRPr="00FD1551">
        <w:rPr>
          <w:rFonts w:ascii="Trebuchet MS" w:hAnsi="Trebuchet MS"/>
          <w:sz w:val="24"/>
          <w:szCs w:val="24"/>
        </w:rPr>
        <w:t xml:space="preserve"> of the area include</w:t>
      </w:r>
      <w:r w:rsidR="000E5C5C" w:rsidRPr="00FD1551">
        <w:rPr>
          <w:rFonts w:ascii="Trebuchet MS" w:hAnsi="Trebuchet MS"/>
          <w:sz w:val="24"/>
          <w:szCs w:val="24"/>
        </w:rPr>
        <w:t xml:space="preserve"> the homogen</w:t>
      </w:r>
      <w:r w:rsidR="005B6F5C" w:rsidRPr="00FD1551">
        <w:rPr>
          <w:rFonts w:ascii="Trebuchet MS" w:hAnsi="Trebuchet MS"/>
          <w:sz w:val="24"/>
          <w:szCs w:val="24"/>
        </w:rPr>
        <w:t xml:space="preserve">ised ‘common scale’ and density </w:t>
      </w:r>
      <w:r w:rsidR="000E5C5C" w:rsidRPr="00FD1551">
        <w:rPr>
          <w:rFonts w:ascii="Trebuchet MS" w:hAnsi="Trebuchet MS"/>
          <w:sz w:val="24"/>
          <w:szCs w:val="24"/>
        </w:rPr>
        <w:t>of the streetscape</w:t>
      </w:r>
      <w:r w:rsidR="002202E3" w:rsidRPr="00FD1551">
        <w:rPr>
          <w:rFonts w:ascii="Trebuchet MS" w:hAnsi="Trebuchet MS"/>
          <w:sz w:val="24"/>
          <w:szCs w:val="24"/>
        </w:rPr>
        <w:t xml:space="preserve">, </w:t>
      </w:r>
      <w:r w:rsidR="000E5C5C" w:rsidRPr="00FD1551">
        <w:rPr>
          <w:rFonts w:ascii="Trebuchet MS" w:hAnsi="Trebuchet MS"/>
          <w:sz w:val="24"/>
          <w:szCs w:val="24"/>
        </w:rPr>
        <w:t>in which the Scala building is a</w:t>
      </w:r>
      <w:r w:rsidR="005B6F5C" w:rsidRPr="00FD1551">
        <w:rPr>
          <w:rFonts w:ascii="Trebuchet MS" w:hAnsi="Trebuchet MS"/>
          <w:sz w:val="24"/>
          <w:szCs w:val="24"/>
        </w:rPr>
        <w:t xml:space="preserve"> </w:t>
      </w:r>
      <w:r w:rsidR="000E5C5C" w:rsidRPr="00FD1551">
        <w:rPr>
          <w:rFonts w:ascii="Trebuchet MS" w:hAnsi="Trebuchet MS"/>
          <w:sz w:val="24"/>
          <w:szCs w:val="24"/>
        </w:rPr>
        <w:t xml:space="preserve">landmark feature. </w:t>
      </w:r>
      <w:r w:rsidR="00C43F26" w:rsidRPr="00FD1551">
        <w:rPr>
          <w:rFonts w:ascii="Trebuchet MS" w:hAnsi="Trebuchet MS"/>
          <w:sz w:val="24"/>
          <w:szCs w:val="24"/>
        </w:rPr>
        <w:t>T</w:t>
      </w:r>
      <w:r w:rsidR="000E5C5C" w:rsidRPr="00FD1551">
        <w:rPr>
          <w:rFonts w:ascii="Trebuchet MS" w:hAnsi="Trebuchet MS"/>
          <w:sz w:val="24"/>
          <w:szCs w:val="24"/>
        </w:rPr>
        <w:t xml:space="preserve">he scale and office-like design of the courtyard building would challenge the </w:t>
      </w:r>
      <w:r w:rsidR="005B6F5C" w:rsidRPr="00FD1551">
        <w:rPr>
          <w:rFonts w:ascii="Trebuchet MS" w:hAnsi="Trebuchet MS"/>
          <w:sz w:val="24"/>
          <w:szCs w:val="24"/>
        </w:rPr>
        <w:t xml:space="preserve">Scala’s </w:t>
      </w:r>
      <w:r w:rsidR="000E5C5C" w:rsidRPr="00FD1551">
        <w:rPr>
          <w:rFonts w:ascii="Trebuchet MS" w:hAnsi="Trebuchet MS"/>
          <w:sz w:val="24"/>
          <w:szCs w:val="24"/>
        </w:rPr>
        <w:t xml:space="preserve">architectural </w:t>
      </w:r>
      <w:r w:rsidR="00434057" w:rsidRPr="00FD1551">
        <w:rPr>
          <w:rFonts w:ascii="Trebuchet MS" w:hAnsi="Trebuchet MS"/>
          <w:sz w:val="24"/>
          <w:szCs w:val="24"/>
        </w:rPr>
        <w:t xml:space="preserve">prominence </w:t>
      </w:r>
      <w:r w:rsidR="000E5C5C" w:rsidRPr="00FD1551">
        <w:rPr>
          <w:rFonts w:ascii="Trebuchet MS" w:hAnsi="Trebuchet MS"/>
          <w:sz w:val="24"/>
          <w:szCs w:val="24"/>
        </w:rPr>
        <w:t xml:space="preserve">and </w:t>
      </w:r>
      <w:r w:rsidR="00434057" w:rsidRPr="00FD1551">
        <w:rPr>
          <w:rFonts w:ascii="Trebuchet MS" w:hAnsi="Trebuchet MS"/>
          <w:sz w:val="24"/>
          <w:szCs w:val="24"/>
        </w:rPr>
        <w:t xml:space="preserve">detract from its landmark character. </w:t>
      </w:r>
    </w:p>
    <w:p w14:paraId="4C0BBA2D" w14:textId="4842E185" w:rsidR="00C85E4B" w:rsidRPr="00FD1551" w:rsidRDefault="005B6F5C" w:rsidP="000E5C5C">
      <w:pPr>
        <w:spacing w:line="360" w:lineRule="auto"/>
        <w:rPr>
          <w:rFonts w:ascii="Trebuchet MS" w:hAnsi="Trebuchet MS"/>
          <w:sz w:val="24"/>
          <w:szCs w:val="24"/>
        </w:rPr>
      </w:pPr>
      <w:r w:rsidRPr="00FD1551">
        <w:rPr>
          <w:rFonts w:ascii="Trebuchet MS" w:hAnsi="Trebuchet MS"/>
          <w:sz w:val="24"/>
          <w:szCs w:val="24"/>
        </w:rPr>
        <w:t xml:space="preserve">We are opposed in principle to the provision of speculative PBSA </w:t>
      </w:r>
      <w:r w:rsidR="00C85E4B" w:rsidRPr="00FD1551">
        <w:rPr>
          <w:rFonts w:ascii="Trebuchet MS" w:hAnsi="Trebuchet MS"/>
          <w:sz w:val="24"/>
          <w:szCs w:val="24"/>
        </w:rPr>
        <w:t xml:space="preserve">in a declining market and an area of over 25% HMO concentration and maintain student accommodation should only be considered where delivered in conjunction with an education provider, such as Norland College. </w:t>
      </w:r>
    </w:p>
    <w:p w14:paraId="77A5B995" w14:textId="7EEFAC61" w:rsidR="00352AEB" w:rsidRPr="00FD1551" w:rsidRDefault="005B6F5C" w:rsidP="00217AF4">
      <w:pPr>
        <w:spacing w:line="360" w:lineRule="auto"/>
        <w:rPr>
          <w:rFonts w:ascii="Trebuchet MS" w:hAnsi="Trebuchet MS"/>
          <w:sz w:val="24"/>
          <w:szCs w:val="24"/>
        </w:rPr>
      </w:pPr>
      <w:r w:rsidRPr="00FD1551">
        <w:rPr>
          <w:rFonts w:ascii="Trebuchet MS" w:hAnsi="Trebuchet MS"/>
          <w:sz w:val="24"/>
          <w:szCs w:val="24"/>
        </w:rPr>
        <w:lastRenderedPageBreak/>
        <w:t>T</w:t>
      </w:r>
      <w:r w:rsidR="00E60A0A" w:rsidRPr="00FD1551">
        <w:rPr>
          <w:rFonts w:ascii="Trebuchet MS" w:hAnsi="Trebuchet MS"/>
          <w:sz w:val="24"/>
          <w:szCs w:val="24"/>
        </w:rPr>
        <w:t>h</w:t>
      </w:r>
      <w:r w:rsidR="000D5244" w:rsidRPr="00FD1551">
        <w:rPr>
          <w:rFonts w:ascii="Trebuchet MS" w:hAnsi="Trebuchet MS"/>
          <w:sz w:val="24"/>
          <w:szCs w:val="24"/>
        </w:rPr>
        <w:t>e proposed</w:t>
      </w:r>
      <w:r w:rsidR="00E60A0A" w:rsidRPr="00FD1551">
        <w:rPr>
          <w:rFonts w:ascii="Trebuchet MS" w:hAnsi="Trebuchet MS"/>
          <w:sz w:val="24"/>
          <w:szCs w:val="24"/>
        </w:rPr>
        <w:t xml:space="preserve"> development</w:t>
      </w:r>
      <w:r w:rsidR="000D5244" w:rsidRPr="00FD1551">
        <w:rPr>
          <w:rFonts w:ascii="Trebuchet MS" w:hAnsi="Trebuchet MS"/>
          <w:sz w:val="24"/>
          <w:szCs w:val="24"/>
        </w:rPr>
        <w:t>, by virtue of height and scale,</w:t>
      </w:r>
      <w:r w:rsidR="00E60A0A" w:rsidRPr="00FD1551">
        <w:rPr>
          <w:rFonts w:ascii="Trebuchet MS" w:hAnsi="Trebuchet MS"/>
          <w:sz w:val="24"/>
          <w:szCs w:val="24"/>
        </w:rPr>
        <w:t xml:space="preserve"> would </w:t>
      </w:r>
      <w:r w:rsidR="00434057" w:rsidRPr="00FD1551">
        <w:rPr>
          <w:rFonts w:ascii="Trebuchet MS" w:hAnsi="Trebuchet MS"/>
          <w:sz w:val="24"/>
          <w:szCs w:val="24"/>
        </w:rPr>
        <w:t xml:space="preserve">fail to </w:t>
      </w:r>
      <w:r w:rsidR="000D5244" w:rsidRPr="00FD1551">
        <w:rPr>
          <w:rFonts w:ascii="Trebuchet MS" w:hAnsi="Trebuchet MS"/>
          <w:sz w:val="24"/>
          <w:szCs w:val="24"/>
        </w:rPr>
        <w:t xml:space="preserve">reinforce </w:t>
      </w:r>
      <w:r w:rsidR="00434057" w:rsidRPr="00FD1551">
        <w:rPr>
          <w:rFonts w:ascii="Trebuchet MS" w:hAnsi="Trebuchet MS"/>
          <w:sz w:val="24"/>
          <w:szCs w:val="24"/>
        </w:rPr>
        <w:t xml:space="preserve">local distinctiveness </w:t>
      </w:r>
      <w:r w:rsidR="000D5244" w:rsidRPr="00FD1551">
        <w:rPr>
          <w:rFonts w:ascii="Trebuchet MS" w:hAnsi="Trebuchet MS"/>
          <w:sz w:val="24"/>
          <w:szCs w:val="24"/>
        </w:rPr>
        <w:t xml:space="preserve">and would harm the visual amenity value of the townscape, and </w:t>
      </w:r>
      <w:r w:rsidR="00E60A0A" w:rsidRPr="00FD1551">
        <w:rPr>
          <w:rFonts w:ascii="Trebuchet MS" w:hAnsi="Trebuchet MS"/>
          <w:sz w:val="24"/>
          <w:szCs w:val="24"/>
        </w:rPr>
        <w:t xml:space="preserve">would result in a built </w:t>
      </w:r>
      <w:r w:rsidR="00434057" w:rsidRPr="00FD1551">
        <w:rPr>
          <w:rFonts w:ascii="Trebuchet MS" w:hAnsi="Trebuchet MS"/>
          <w:sz w:val="24"/>
          <w:szCs w:val="24"/>
        </w:rPr>
        <w:t>for</w:t>
      </w:r>
      <w:r w:rsidR="002202E3" w:rsidRPr="00FD1551">
        <w:rPr>
          <w:rFonts w:ascii="Trebuchet MS" w:hAnsi="Trebuchet MS"/>
          <w:sz w:val="24"/>
          <w:szCs w:val="24"/>
        </w:rPr>
        <w:t>m that would fail to preserve o</w:t>
      </w:r>
      <w:r w:rsidR="00434057" w:rsidRPr="00FD1551">
        <w:rPr>
          <w:rFonts w:ascii="Trebuchet MS" w:hAnsi="Trebuchet MS"/>
          <w:sz w:val="24"/>
          <w:szCs w:val="24"/>
        </w:rPr>
        <w:t>r enhance the character and appearance of the conservation are</w:t>
      </w:r>
      <w:r w:rsidR="000D5244" w:rsidRPr="00FD1551">
        <w:rPr>
          <w:rFonts w:ascii="Trebuchet MS" w:hAnsi="Trebuchet MS"/>
          <w:sz w:val="24"/>
          <w:szCs w:val="24"/>
        </w:rPr>
        <w:t>a</w:t>
      </w:r>
      <w:r w:rsidR="002202E3" w:rsidRPr="00FD1551">
        <w:rPr>
          <w:rFonts w:ascii="Trebuchet MS" w:hAnsi="Trebuchet MS"/>
          <w:sz w:val="24"/>
          <w:szCs w:val="24"/>
        </w:rPr>
        <w:t>. W</w:t>
      </w:r>
      <w:r w:rsidR="00E60A0A" w:rsidRPr="00FD1551">
        <w:rPr>
          <w:rFonts w:ascii="Trebuchet MS" w:hAnsi="Trebuchet MS"/>
          <w:sz w:val="24"/>
          <w:szCs w:val="24"/>
        </w:rPr>
        <w:t xml:space="preserve">e </w:t>
      </w:r>
      <w:r w:rsidR="00434057" w:rsidRPr="00FD1551">
        <w:rPr>
          <w:rFonts w:ascii="Trebuchet MS" w:hAnsi="Trebuchet MS"/>
          <w:sz w:val="24"/>
          <w:szCs w:val="24"/>
        </w:rPr>
        <w:t xml:space="preserve">therefore </w:t>
      </w:r>
      <w:r w:rsidR="00E60A0A" w:rsidRPr="00FD1551">
        <w:rPr>
          <w:rFonts w:ascii="Trebuchet MS" w:hAnsi="Trebuchet MS"/>
          <w:sz w:val="24"/>
          <w:szCs w:val="24"/>
        </w:rPr>
        <w:t>recommend that the application is refused</w:t>
      </w:r>
      <w:r w:rsidR="00434057" w:rsidRPr="00FD1551">
        <w:rPr>
          <w:rFonts w:ascii="Trebuchet MS" w:hAnsi="Trebuchet MS"/>
          <w:sz w:val="24"/>
          <w:szCs w:val="24"/>
        </w:rPr>
        <w:t xml:space="preserve">. </w:t>
      </w:r>
    </w:p>
    <w:sectPr w:rsidR="00352AEB" w:rsidRPr="00FD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11959"/>
    <w:multiLevelType w:val="hybridMultilevel"/>
    <w:tmpl w:val="B896F5CA"/>
    <w:lvl w:ilvl="0" w:tplc="610EF00C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9"/>
    <w:rsid w:val="000000E1"/>
    <w:rsid w:val="0001412D"/>
    <w:rsid w:val="00080516"/>
    <w:rsid w:val="000D5244"/>
    <w:rsid w:val="000E5C5C"/>
    <w:rsid w:val="0013229D"/>
    <w:rsid w:val="0014535A"/>
    <w:rsid w:val="00157378"/>
    <w:rsid w:val="00174C21"/>
    <w:rsid w:val="00217AF4"/>
    <w:rsid w:val="002202E3"/>
    <w:rsid w:val="00225F8E"/>
    <w:rsid w:val="0025166D"/>
    <w:rsid w:val="003107B1"/>
    <w:rsid w:val="00326815"/>
    <w:rsid w:val="00341783"/>
    <w:rsid w:val="00371D3F"/>
    <w:rsid w:val="003F79F7"/>
    <w:rsid w:val="00434057"/>
    <w:rsid w:val="00491DF9"/>
    <w:rsid w:val="004C1DD7"/>
    <w:rsid w:val="005A2968"/>
    <w:rsid w:val="005B3F74"/>
    <w:rsid w:val="005B6F5C"/>
    <w:rsid w:val="006209AB"/>
    <w:rsid w:val="00632A0C"/>
    <w:rsid w:val="00654A8B"/>
    <w:rsid w:val="006D3CA8"/>
    <w:rsid w:val="006F2605"/>
    <w:rsid w:val="00710123"/>
    <w:rsid w:val="007C3DBB"/>
    <w:rsid w:val="007E0C26"/>
    <w:rsid w:val="00824B7F"/>
    <w:rsid w:val="008555DE"/>
    <w:rsid w:val="00871E2A"/>
    <w:rsid w:val="008D686A"/>
    <w:rsid w:val="00902935"/>
    <w:rsid w:val="00926B09"/>
    <w:rsid w:val="0093525E"/>
    <w:rsid w:val="0094424D"/>
    <w:rsid w:val="00957BCF"/>
    <w:rsid w:val="00970B77"/>
    <w:rsid w:val="009822E0"/>
    <w:rsid w:val="009E0320"/>
    <w:rsid w:val="009E3EE1"/>
    <w:rsid w:val="00A07764"/>
    <w:rsid w:val="00A36722"/>
    <w:rsid w:val="00A4513B"/>
    <w:rsid w:val="00A919E3"/>
    <w:rsid w:val="00AB5CC2"/>
    <w:rsid w:val="00B27309"/>
    <w:rsid w:val="00BB0CB9"/>
    <w:rsid w:val="00BD5D09"/>
    <w:rsid w:val="00C0007E"/>
    <w:rsid w:val="00C057AE"/>
    <w:rsid w:val="00C43F26"/>
    <w:rsid w:val="00C54AD9"/>
    <w:rsid w:val="00C85E4B"/>
    <w:rsid w:val="00C96E66"/>
    <w:rsid w:val="00CC01C1"/>
    <w:rsid w:val="00D00056"/>
    <w:rsid w:val="00D0139C"/>
    <w:rsid w:val="00D15128"/>
    <w:rsid w:val="00D23AE9"/>
    <w:rsid w:val="00D318A7"/>
    <w:rsid w:val="00D37D25"/>
    <w:rsid w:val="00D44C76"/>
    <w:rsid w:val="00D5560A"/>
    <w:rsid w:val="00DD7B19"/>
    <w:rsid w:val="00DE6B0D"/>
    <w:rsid w:val="00DE7058"/>
    <w:rsid w:val="00E03FFD"/>
    <w:rsid w:val="00E57C0A"/>
    <w:rsid w:val="00E60A0A"/>
    <w:rsid w:val="00EB05ED"/>
    <w:rsid w:val="00F01D5E"/>
    <w:rsid w:val="00F866BA"/>
    <w:rsid w:val="00F94B66"/>
    <w:rsid w:val="00FA0C1C"/>
    <w:rsid w:val="00FB28EB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A5A3"/>
  <w15:chartTrackingRefBased/>
  <w15:docId w15:val="{666A2705-CD2E-488C-9FF6-A503F71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A2EC-0A8E-426C-96FE-CF518E0F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9</cp:revision>
  <dcterms:created xsi:type="dcterms:W3CDTF">2021-05-04T13:09:00Z</dcterms:created>
  <dcterms:modified xsi:type="dcterms:W3CDTF">2022-01-17T09:47:00Z</dcterms:modified>
</cp:coreProperties>
</file>